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3E048" w14:textId="21A5C7AA" w:rsidR="002D212E" w:rsidRPr="00410280" w:rsidRDefault="00223996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0280">
        <w:rPr>
          <w:rFonts w:ascii="Times New Roman" w:hAnsi="Times New Roman" w:cs="Times New Roman"/>
          <w:b/>
          <w:sz w:val="32"/>
          <w:szCs w:val="24"/>
        </w:rPr>
        <w:t>KRATKOROČNI AKT STRATEŠKOG PLANIRANJA</w:t>
      </w:r>
    </w:p>
    <w:p w14:paraId="6FE98FE9" w14:textId="6E42BE99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96F596" w14:textId="0DAE40C5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819A5" w14:textId="77777777" w:rsidR="00E31445" w:rsidRPr="00410280" w:rsidRDefault="00E31445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F1978" w14:textId="0E5F95CC" w:rsidR="00223996" w:rsidRPr="00410280" w:rsidRDefault="00223996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015F3B" wp14:editId="539AFF62">
            <wp:extent cx="4486275" cy="2243138"/>
            <wp:effectExtent l="114300" t="114300" r="104775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79" cy="2244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14AC23" w14:textId="37AAA9C9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A3893" w14:textId="7D420197" w:rsidR="00E31445" w:rsidRPr="00410280" w:rsidRDefault="00E31445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74B532" w14:textId="77777777" w:rsidR="00223996" w:rsidRPr="00410280" w:rsidRDefault="00223996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B92933" w14:textId="77777777" w:rsidR="009D0E95" w:rsidRPr="00410280" w:rsidRDefault="00223996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10280">
        <w:rPr>
          <w:rFonts w:ascii="Times New Roman" w:hAnsi="Times New Roman" w:cs="Times New Roman"/>
          <w:b/>
          <w:sz w:val="44"/>
          <w:szCs w:val="24"/>
        </w:rPr>
        <w:t xml:space="preserve">PROVEDBENI PROGRAM </w:t>
      </w:r>
    </w:p>
    <w:p w14:paraId="1C22EB4B" w14:textId="532E993A" w:rsidR="0062490F" w:rsidRPr="00410280" w:rsidRDefault="00223996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10280">
        <w:rPr>
          <w:rFonts w:ascii="Times New Roman" w:hAnsi="Times New Roman" w:cs="Times New Roman"/>
          <w:b/>
          <w:sz w:val="44"/>
          <w:szCs w:val="24"/>
        </w:rPr>
        <w:t>OP</w:t>
      </w:r>
      <w:r w:rsidR="002A71AC" w:rsidRPr="00410280">
        <w:rPr>
          <w:rFonts w:ascii="Times New Roman" w:hAnsi="Times New Roman" w:cs="Times New Roman"/>
          <w:b/>
          <w:sz w:val="44"/>
          <w:szCs w:val="24"/>
        </w:rPr>
        <w:t>Ć</w:t>
      </w:r>
      <w:r w:rsidRPr="00410280">
        <w:rPr>
          <w:rFonts w:ascii="Times New Roman" w:hAnsi="Times New Roman" w:cs="Times New Roman"/>
          <w:b/>
          <w:sz w:val="44"/>
          <w:szCs w:val="24"/>
        </w:rPr>
        <w:t>INE MAJUR</w:t>
      </w:r>
    </w:p>
    <w:p w14:paraId="3DE927F0" w14:textId="2AB3EA41" w:rsidR="00223996" w:rsidRPr="00410280" w:rsidRDefault="00223996" w:rsidP="00913A64">
      <w:pPr>
        <w:shd w:val="clear" w:color="auto" w:fill="A8D08D" w:themeFill="accent6" w:themeFillTint="99"/>
        <w:spacing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10280">
        <w:rPr>
          <w:rFonts w:ascii="Times New Roman" w:hAnsi="Times New Roman" w:cs="Times New Roman"/>
          <w:b/>
          <w:sz w:val="44"/>
          <w:szCs w:val="24"/>
        </w:rPr>
        <w:t>MANDATNO RAZDOBLJE 2021.-2025.</w:t>
      </w:r>
    </w:p>
    <w:p w14:paraId="5A2B2C20" w14:textId="77777777" w:rsidR="00913A64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0DE21" w14:textId="26B57643" w:rsidR="00913A64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6A629" w14:textId="77777777" w:rsidR="00692B0A" w:rsidRPr="00410280" w:rsidRDefault="00692B0A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E28CB" w14:textId="48D6A0BA" w:rsidR="00E31445" w:rsidRPr="00410280" w:rsidRDefault="00913A64" w:rsidP="00913A6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0280">
        <w:rPr>
          <w:rFonts w:ascii="Times New Roman" w:hAnsi="Times New Roman" w:cs="Times New Roman"/>
          <w:sz w:val="28"/>
          <w:szCs w:val="24"/>
        </w:rPr>
        <w:t>Majur, prosinac 2021. godine</w:t>
      </w:r>
    </w:p>
    <w:p w14:paraId="2A365FF5" w14:textId="715408AA" w:rsidR="00644794" w:rsidRPr="00410280" w:rsidRDefault="00644794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color w:val="auto"/>
        </w:rPr>
        <w:id w:val="194967521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  <w:lang w:eastAsia="en-US"/>
        </w:rPr>
      </w:sdtEndPr>
      <w:sdtContent>
        <w:p w14:paraId="4CE27BFF" w14:textId="25E09662" w:rsidR="00692B0A" w:rsidRPr="00B535EE" w:rsidRDefault="00692B0A">
          <w:pPr>
            <w:pStyle w:val="TOCNaslov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535EE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Sadržaj</w:t>
          </w:r>
        </w:p>
        <w:p w14:paraId="33F5E845" w14:textId="77777777" w:rsidR="00692B0A" w:rsidRPr="00B535EE" w:rsidRDefault="00692B0A" w:rsidP="00692B0A">
          <w:pPr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</w:p>
        <w:p w14:paraId="37AE4A91" w14:textId="2BC91CE1" w:rsidR="00F01E6C" w:rsidRPr="00B535EE" w:rsidRDefault="00692B0A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r w:rsidRPr="00B535EE">
            <w:rPr>
              <w:rFonts w:ascii="Times New Roman" w:hAnsi="Times New Roman" w:cs="Times New Roman"/>
            </w:rPr>
            <w:fldChar w:fldCharType="begin"/>
          </w:r>
          <w:r w:rsidRPr="00B535EE">
            <w:rPr>
              <w:rFonts w:ascii="Times New Roman" w:hAnsi="Times New Roman" w:cs="Times New Roman"/>
            </w:rPr>
            <w:instrText xml:space="preserve"> TOC \o "1-3" \h \z \u </w:instrText>
          </w:r>
          <w:r w:rsidRPr="00B535EE">
            <w:rPr>
              <w:rFonts w:ascii="Times New Roman" w:hAnsi="Times New Roman" w:cs="Times New Roman"/>
            </w:rPr>
            <w:fldChar w:fldCharType="separate"/>
          </w:r>
          <w:hyperlink w:anchor="_Toc91834184" w:history="1">
            <w:r w:rsidR="00F01E6C"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PREDGOVOR</w:t>
            </w:r>
            <w:r w:rsidR="00F01E6C" w:rsidRPr="00B535EE">
              <w:rPr>
                <w:noProof/>
                <w:webHidden/>
              </w:rPr>
              <w:tab/>
            </w:r>
            <w:r w:rsidR="00F01E6C" w:rsidRPr="00B535EE">
              <w:rPr>
                <w:noProof/>
                <w:webHidden/>
              </w:rPr>
              <w:fldChar w:fldCharType="begin"/>
            </w:r>
            <w:r w:rsidR="00F01E6C" w:rsidRPr="00B535EE">
              <w:rPr>
                <w:noProof/>
                <w:webHidden/>
              </w:rPr>
              <w:instrText xml:space="preserve"> PAGEREF _Toc91834184 \h </w:instrText>
            </w:r>
            <w:r w:rsidR="00F01E6C" w:rsidRPr="00B535EE">
              <w:rPr>
                <w:noProof/>
                <w:webHidden/>
              </w:rPr>
            </w:r>
            <w:r w:rsidR="00F01E6C"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3</w:t>
            </w:r>
            <w:r w:rsidR="00F01E6C" w:rsidRPr="00B535EE">
              <w:rPr>
                <w:noProof/>
                <w:webHidden/>
              </w:rPr>
              <w:fldChar w:fldCharType="end"/>
            </w:r>
          </w:hyperlink>
        </w:p>
        <w:p w14:paraId="346F6D73" w14:textId="2326A871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85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TEMELJ IZRADE PROVEDBENOG PROGRAMA-ZAKONSKA OSNOVA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_Toc91834185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4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31C6B5A9" w14:textId="56418F7D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86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STRATEŠKO UPORIŠTE - NACIONALNA RAZVOJNA STRATEGIJA I PROGRAMI</w:t>
            </w:r>
            <w:r w:rsidR="00B535EE">
              <w:rPr>
                <w:noProof/>
                <w:webHidden/>
              </w:rPr>
              <w:t>……</w:t>
            </w:r>
            <w:r w:rsidR="00B535EE" w:rsidRPr="00B535EE">
              <w:rPr>
                <w:noProof/>
                <w:webHidden/>
              </w:rPr>
              <w:t>………………………………</w:t>
            </w:r>
            <w:r w:rsidR="00B535EE">
              <w:rPr>
                <w:noProof/>
                <w:webHidden/>
              </w:rPr>
              <w:t>.</w:t>
            </w:r>
            <w:r w:rsidR="00B535EE" w:rsidRPr="00B535EE">
              <w:rPr>
                <w:noProof/>
                <w:webHidden/>
              </w:rPr>
              <w:t>……………………………………………………………………</w:t>
            </w:r>
            <w:r w:rsidR="00B535EE">
              <w:rPr>
                <w:noProof/>
                <w:webHidden/>
              </w:rPr>
              <w:t>.</w:t>
            </w:r>
            <w:r w:rsidR="00B535EE" w:rsidRPr="00B535EE">
              <w:rPr>
                <w:noProof/>
                <w:webHidden/>
              </w:rPr>
              <w:t>………….</w:t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_Toc91834186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4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2F33E8EA" w14:textId="7A5D2704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87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PRIORITETI DJELOVANJA U PODRUČJU NADLEŽNOSTI SAMOUPRAVNE JEDINICE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_Toc91834187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9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757B2EA6" w14:textId="66C9669F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88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LOKACIJSKA I POSTOJEĆA INFRASTRUKTURA PODRUČJA PROVEDBE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_Toc91834188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10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11B987C0" w14:textId="67FE2FD4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89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DJELOKRUG RADA I ORGANIZACIJSKA STRUKTURA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_Toc91834189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12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15998487" w14:textId="7FF0CD1B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0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VIZIJA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_Toc91834190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15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3D7DF63A" w14:textId="27CC661D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1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MISIJA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_Toc91834191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15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245BD7FA" w14:textId="3E821532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2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PRORAČUN KAO TEMELJNI FINANCIJSKI DOKUMET PROVEDBENOG PROGRAMA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_Toc91834192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16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7279618B" w14:textId="3C69EC76" w:rsidR="00F01E6C" w:rsidRPr="00B535EE" w:rsidRDefault="00F01E6C" w:rsidP="00B535EE">
          <w:pPr>
            <w:pStyle w:val="Sadraj2"/>
            <w:ind w:firstLine="0"/>
            <w:rPr>
              <w:rFonts w:eastAsiaTheme="minorEastAsia"/>
              <w:noProof/>
              <w:lang w:eastAsia="hr-HR"/>
            </w:rPr>
          </w:pPr>
          <w:hyperlink w:anchor="_Toc91834193" w:history="1">
            <w:r w:rsidRPr="00B535EE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POKAZATELJI I PARTICIPATIVNO PLANIRANJE KAO TEMELJ IZRADE PROVEDBENOG PROGRAMA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_Toc91834193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17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359FF587" w14:textId="345CBF59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4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9.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MJERE I AKTIVNOSTI PROVEDBENOG PROGRAMA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_Toc91834194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18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549B0266" w14:textId="6D32B4AA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5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PROJEKTI BUDUĆEG RAZVOJA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_Toc91834195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25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59B7F266" w14:textId="21E9C553" w:rsidR="00F01E6C" w:rsidRPr="00B535EE" w:rsidRDefault="00F01E6C" w:rsidP="00B535EE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91834196" w:history="1"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 w:rsidRPr="00B535EE">
              <w:rPr>
                <w:rFonts w:eastAsiaTheme="minorEastAsia"/>
                <w:noProof/>
                <w:lang w:eastAsia="hr-HR"/>
              </w:rPr>
              <w:tab/>
            </w:r>
            <w:r w:rsidRPr="00B535EE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PRAĆENJE I IZVJEŠTAVANJE O PROVEDBI MJERA PROVEDBENOG PROGRAMA</w:t>
            </w:r>
            <w:r w:rsidRPr="00B535EE">
              <w:rPr>
                <w:noProof/>
                <w:webHidden/>
              </w:rPr>
              <w:tab/>
            </w:r>
            <w:r w:rsidRPr="00B535EE">
              <w:rPr>
                <w:noProof/>
                <w:webHidden/>
              </w:rPr>
              <w:fldChar w:fldCharType="begin"/>
            </w:r>
            <w:r w:rsidRPr="00B535EE">
              <w:rPr>
                <w:noProof/>
                <w:webHidden/>
              </w:rPr>
              <w:instrText xml:space="preserve"> PAGEREF _Toc91834196 \h </w:instrText>
            </w:r>
            <w:r w:rsidRPr="00B535EE">
              <w:rPr>
                <w:noProof/>
                <w:webHidden/>
              </w:rPr>
            </w:r>
            <w:r w:rsidRPr="00B535EE">
              <w:rPr>
                <w:noProof/>
                <w:webHidden/>
              </w:rPr>
              <w:fldChar w:fldCharType="separate"/>
            </w:r>
            <w:r w:rsidR="00E43934">
              <w:rPr>
                <w:noProof/>
                <w:webHidden/>
              </w:rPr>
              <w:t>28</w:t>
            </w:r>
            <w:r w:rsidRPr="00B535EE">
              <w:rPr>
                <w:noProof/>
                <w:webHidden/>
              </w:rPr>
              <w:fldChar w:fldCharType="end"/>
            </w:r>
          </w:hyperlink>
        </w:p>
        <w:p w14:paraId="27BBCB51" w14:textId="005428CF" w:rsidR="00692B0A" w:rsidRPr="00410280" w:rsidRDefault="00692B0A">
          <w:pPr>
            <w:rPr>
              <w:rFonts w:ascii="Times New Roman" w:hAnsi="Times New Roman" w:cs="Times New Roman"/>
            </w:rPr>
          </w:pPr>
          <w:r w:rsidRPr="00B535E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27B305B" w14:textId="77777777" w:rsidR="003C0635" w:rsidRPr="00410280" w:rsidRDefault="003C0635">
      <w:pPr>
        <w:rPr>
          <w:rFonts w:ascii="Times New Roman" w:hAnsi="Times New Roman" w:cs="Times New Roman"/>
          <w:sz w:val="24"/>
          <w:szCs w:val="24"/>
        </w:rPr>
      </w:pPr>
    </w:p>
    <w:p w14:paraId="551623DE" w14:textId="030F6BE8" w:rsidR="00E42DF4" w:rsidRDefault="00644794" w:rsidP="00E22B3D">
      <w:pPr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softHyphen/>
      </w:r>
    </w:p>
    <w:p w14:paraId="2F465D31" w14:textId="77777777" w:rsidR="00644794" w:rsidRPr="00410280" w:rsidRDefault="00644794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D9332" w14:textId="794F9E7C" w:rsidR="00E42DF4" w:rsidRPr="00410280" w:rsidRDefault="00E42DF4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Kronološki popis slika i tablica:</w:t>
      </w:r>
    </w:p>
    <w:p w14:paraId="3172EC13" w14:textId="1A96466B" w:rsidR="00E42DF4" w:rsidRPr="00410280" w:rsidRDefault="00E42DF4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Tablica 1. (Izvor: </w:t>
      </w:r>
      <w:hyperlink r:id="rId9" w:history="1">
        <w:r w:rsidRPr="0041028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https://esavjetovanja.gov.hr/ECon/MainScreen?entityId=17226</w:t>
        </w:r>
      </w:hyperlink>
      <w:r w:rsidRPr="00410280">
        <w:rPr>
          <w:rFonts w:ascii="Times New Roman" w:hAnsi="Times New Roman" w:cs="Times New Roman"/>
          <w:sz w:val="24"/>
          <w:szCs w:val="24"/>
        </w:rPr>
        <w:t>)</w:t>
      </w:r>
    </w:p>
    <w:p w14:paraId="0917BF18" w14:textId="38E0788E" w:rsidR="00E42DF4" w:rsidRPr="00410280" w:rsidRDefault="00E42DF4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Slika 1. Područje općine Majur</w:t>
      </w:r>
    </w:p>
    <w:p w14:paraId="57799404" w14:textId="7ADB2B51" w:rsidR="00E42DF4" w:rsidRPr="00410280" w:rsidRDefault="00E42DF4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Tablica 2. Broj stanovnika Općine Majur</w:t>
      </w:r>
    </w:p>
    <w:p w14:paraId="00D308ED" w14:textId="1FB1F0E0" w:rsidR="00E42DF4" w:rsidRPr="00410280" w:rsidRDefault="00E42DF4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Slika 2. Organizacijska struktura Općine Majur</w:t>
      </w:r>
    </w:p>
    <w:p w14:paraId="667A9C91" w14:textId="65905B23" w:rsidR="00E42DF4" w:rsidRPr="00410280" w:rsidRDefault="00E42DF4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Slika 3. Iznos plana proračuna</w:t>
      </w:r>
    </w:p>
    <w:p w14:paraId="19C64610" w14:textId="77777777" w:rsidR="00E42DF4" w:rsidRPr="00410280" w:rsidRDefault="00E42DF4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4F7915" w14:textId="232A5790" w:rsidR="00FA74AD" w:rsidRPr="00750CBC" w:rsidRDefault="0062490F" w:rsidP="003C0635">
      <w:pPr>
        <w:pStyle w:val="Naslov2"/>
        <w:rPr>
          <w:rFonts w:ascii="Times New Roman" w:hAnsi="Times New Roman" w:cs="Times New Roman"/>
          <w:b/>
          <w:color w:val="auto"/>
          <w:sz w:val="24"/>
        </w:rPr>
      </w:pPr>
      <w:bookmarkStart w:id="0" w:name="_Toc91834184"/>
      <w:r w:rsidRPr="00750CBC">
        <w:rPr>
          <w:rFonts w:ascii="Times New Roman" w:hAnsi="Times New Roman" w:cs="Times New Roman"/>
          <w:b/>
          <w:color w:val="auto"/>
          <w:sz w:val="24"/>
        </w:rPr>
        <w:lastRenderedPageBreak/>
        <w:t>PREDGOVOR</w:t>
      </w:r>
      <w:bookmarkEnd w:id="0"/>
      <w:r w:rsidRPr="00750CBC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61922B99" w14:textId="3F9F7854" w:rsidR="00550EDC" w:rsidRPr="00410280" w:rsidRDefault="00550EDC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F5CA" w14:textId="67911A89" w:rsidR="0099281D" w:rsidRDefault="0099281D" w:rsidP="009928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osnutka Općine Majur 1997. godine rad i planiranje razvoja niti malo nije bio jednostavan. Tada je naglasak bio na obnovi javnih objekata i obiteljskih kuća nakon Domovinskog rata 1991-1995, a danas živimo u vremenu promjene načine života </w:t>
      </w:r>
      <w:r w:rsidR="00B31155">
        <w:rPr>
          <w:rFonts w:ascii="Times New Roman" w:hAnsi="Times New Roman" w:cs="Times New Roman"/>
          <w:bCs/>
          <w:sz w:val="24"/>
          <w:szCs w:val="24"/>
        </w:rPr>
        <w:t>zbog</w:t>
      </w:r>
      <w:r>
        <w:rPr>
          <w:rFonts w:ascii="Times New Roman" w:hAnsi="Times New Roman" w:cs="Times New Roman"/>
          <w:bCs/>
          <w:sz w:val="24"/>
          <w:szCs w:val="24"/>
        </w:rPr>
        <w:t xml:space="preserve"> svjetsk</w:t>
      </w:r>
      <w:r w:rsidR="00B3115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pandemij</w:t>
      </w:r>
      <w:r w:rsidR="00B31155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19, te se ponovno vraćamo na obnovu javnih objekata i obiteljskih kuća, ovaj put </w:t>
      </w:r>
      <w:r w:rsidR="00B31155">
        <w:rPr>
          <w:rFonts w:ascii="Times New Roman" w:hAnsi="Times New Roman" w:cs="Times New Roman"/>
          <w:bCs/>
          <w:sz w:val="24"/>
          <w:szCs w:val="24"/>
        </w:rPr>
        <w:t>zbog razornog potresa koji je zahvatio naše područje 29. prosinca 2020. godine.</w:t>
      </w:r>
      <w:r w:rsidR="008711ED">
        <w:rPr>
          <w:rFonts w:ascii="Times New Roman" w:hAnsi="Times New Roman" w:cs="Times New Roman"/>
          <w:bCs/>
          <w:sz w:val="24"/>
          <w:szCs w:val="24"/>
        </w:rPr>
        <w:t xml:space="preserve"> Uz sve to svjedoci smo smanjenja broja stanovnika, velik broj starijeg stanovništva što je povezano i sa nedovoljnim vlastitim financijskim sredstvima za sve ono što bi htjeli u budućnosti napraviti.</w:t>
      </w:r>
    </w:p>
    <w:p w14:paraId="44B3FA92" w14:textId="64E51791" w:rsidR="008711ED" w:rsidRDefault="008711ED" w:rsidP="009928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smo na početku novog programsko</w:t>
      </w:r>
      <w:r w:rsidR="00966152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 razdoblja 2021-2027 sredstva za razvoj nastojat ćemo tražiti putem EU natječaja i usmjeravati </w:t>
      </w:r>
      <w:r w:rsidR="00966152">
        <w:rPr>
          <w:rFonts w:ascii="Times New Roman" w:hAnsi="Times New Roman" w:cs="Times New Roman"/>
          <w:bCs/>
          <w:sz w:val="24"/>
          <w:szCs w:val="24"/>
        </w:rPr>
        <w:t xml:space="preserve">ih </w:t>
      </w:r>
      <w:r>
        <w:rPr>
          <w:rFonts w:ascii="Times New Roman" w:hAnsi="Times New Roman" w:cs="Times New Roman"/>
          <w:bCs/>
          <w:sz w:val="24"/>
          <w:szCs w:val="24"/>
        </w:rPr>
        <w:t>za razvoj područja Općine Majur i poboljšavanje uvjeta života naših stanovnika.</w:t>
      </w:r>
    </w:p>
    <w:p w14:paraId="43C5F968" w14:textId="18472958" w:rsidR="00966152" w:rsidRDefault="00966152" w:rsidP="009928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Prioriteti u ovom mandatnom razdoblju 2021.-2025. su obnova potresom oštećenih objekata i povratak svakodnevnom životu, stvaranje uvjeta za razvoj gospodarstva i demografski oporavak, razvoj turističkih sadržaja, poboljšanje socijalnih usluga, izgradanja i poboljšanje komunalne infrastrukture te izgradnja objekata koji će pridonijeti </w:t>
      </w:r>
      <w:r w:rsidR="0058412C">
        <w:rPr>
          <w:rFonts w:ascii="Times New Roman" w:hAnsi="Times New Roman" w:cs="Times New Roman"/>
          <w:bCs/>
          <w:sz w:val="24"/>
          <w:szCs w:val="24"/>
        </w:rPr>
        <w:t>poboljšanju kvalitete života stanovnika Općine Majur.</w:t>
      </w:r>
    </w:p>
    <w:p w14:paraId="1CDF5164" w14:textId="7FEE3A8B" w:rsidR="00B31155" w:rsidRDefault="00B31155" w:rsidP="0099281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7E4BAA" w14:textId="77777777" w:rsidR="0099281D" w:rsidRDefault="0099281D" w:rsidP="0099281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410FC" w14:textId="6E754D56" w:rsidR="00F477DF" w:rsidRPr="00410280" w:rsidRDefault="0058412C" w:rsidP="0058412C">
      <w:pPr>
        <w:spacing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77DF" w:rsidRPr="00410280">
        <w:rPr>
          <w:rFonts w:ascii="Times New Roman" w:hAnsi="Times New Roman" w:cs="Times New Roman"/>
          <w:sz w:val="24"/>
          <w:szCs w:val="24"/>
        </w:rPr>
        <w:t xml:space="preserve">pćinska </w:t>
      </w:r>
      <w:r w:rsidR="00913A64" w:rsidRPr="00410280">
        <w:rPr>
          <w:rFonts w:ascii="Times New Roman" w:hAnsi="Times New Roman" w:cs="Times New Roman"/>
          <w:sz w:val="24"/>
          <w:szCs w:val="24"/>
        </w:rPr>
        <w:t>n</w:t>
      </w:r>
      <w:r w:rsidR="00F477DF" w:rsidRPr="00410280">
        <w:rPr>
          <w:rFonts w:ascii="Times New Roman" w:hAnsi="Times New Roman" w:cs="Times New Roman"/>
          <w:sz w:val="24"/>
          <w:szCs w:val="24"/>
        </w:rPr>
        <w:t>ačelnica</w:t>
      </w:r>
    </w:p>
    <w:p w14:paraId="37E09FAE" w14:textId="0E3D1402" w:rsidR="00F477DF" w:rsidRPr="00410280" w:rsidRDefault="00F477DF" w:rsidP="0058412C">
      <w:pPr>
        <w:spacing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Klementina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Karanović</w:t>
      </w:r>
      <w:proofErr w:type="spellEnd"/>
    </w:p>
    <w:p w14:paraId="6346E053" w14:textId="77777777" w:rsidR="00B97895" w:rsidRPr="00410280" w:rsidRDefault="00B9789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EC22" w14:textId="16F08030" w:rsidR="00803233" w:rsidRPr="00410280" w:rsidRDefault="0080323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26EE1" w14:textId="77EB7409" w:rsidR="00803233" w:rsidRPr="00410280" w:rsidRDefault="0080323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C8C3F" w14:textId="0C0DD279" w:rsidR="003C0635" w:rsidRPr="00410280" w:rsidRDefault="003C0635" w:rsidP="003C0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5577" w14:textId="6D3AD8CC" w:rsidR="003C0635" w:rsidRPr="00410280" w:rsidRDefault="003C0635" w:rsidP="003C06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F99B" w14:textId="2A7656AB" w:rsidR="003C0635" w:rsidRPr="00410280" w:rsidRDefault="003C0635" w:rsidP="003C06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7981E" w14:textId="530F04A6" w:rsidR="003C0635" w:rsidRPr="00410280" w:rsidRDefault="003C0635" w:rsidP="003C06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3D6F" w14:textId="7733B7A9" w:rsidR="003C0635" w:rsidRPr="00410280" w:rsidRDefault="003C0635" w:rsidP="003C06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C9F4" w14:textId="3CC7A508" w:rsidR="003C0635" w:rsidRPr="00410280" w:rsidRDefault="003C0635" w:rsidP="003C0635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18E0F" w14:textId="227399D9" w:rsidR="00803233" w:rsidRPr="00750CBC" w:rsidRDefault="00803233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bookmarkStart w:id="1" w:name="_Toc91834185"/>
      <w:r w:rsidRPr="00750CBC">
        <w:rPr>
          <w:rFonts w:ascii="Times New Roman" w:hAnsi="Times New Roman" w:cs="Times New Roman"/>
          <w:b/>
          <w:color w:val="auto"/>
          <w:sz w:val="24"/>
        </w:rPr>
        <w:lastRenderedPageBreak/>
        <w:t>TEMELJ IZRADE PROVEDBENOG PROGRAMA-ZAKONSKA OSNOVA</w:t>
      </w:r>
      <w:bookmarkEnd w:id="1"/>
    </w:p>
    <w:p w14:paraId="20CA5C67" w14:textId="23CD3612" w:rsidR="00803233" w:rsidRPr="00410280" w:rsidRDefault="0080323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234D" w14:textId="2DF333CC" w:rsidR="00167622" w:rsidRPr="00410280" w:rsidRDefault="00B220C0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Odredbama koje donosi Zakon o sustavu strateškog planiranja i upravljanja razvojem Republike Hrvatske (Narodne novine, br. 123/17), te Uredba o smjernicama za izradu akata strateškog planiranja od nacionalnog značaja i od značaja za jedinice lokalne i područne (regionalne) samouprave (Narodne novine, br. 89/18) donosi se ovaj provedbeni program Općine Majur. </w:t>
      </w:r>
      <w:r w:rsidR="00167622" w:rsidRPr="00410280">
        <w:rPr>
          <w:rFonts w:ascii="Times New Roman" w:hAnsi="Times New Roman" w:cs="Times New Roman"/>
          <w:sz w:val="24"/>
          <w:szCs w:val="24"/>
        </w:rPr>
        <w:t>Članak 24. Zakona o sustavu strateškog planiranja i upravljanja razvojem Republike Hrvatske (Narodne novine, br. 123/17) definira provedbene programe kao:</w:t>
      </w:r>
    </w:p>
    <w:p w14:paraId="3C605F0F" w14:textId="207CCB85" w:rsidR="00167622" w:rsidRPr="00410280" w:rsidRDefault="00167622" w:rsidP="00913A6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280">
        <w:rPr>
          <w:rFonts w:ascii="Times New Roman" w:hAnsi="Times New Roman" w:cs="Times New Roman"/>
          <w:i/>
          <w:iCs/>
          <w:sz w:val="24"/>
          <w:szCs w:val="24"/>
        </w:rPr>
        <w:t>provedbeni programi jedinica područne (regionalne) samouprave su kratkoročni akti strateškog planiranja koji osiguravaju provedbu posebnih ciljeva akata strateškog planiranja iz članka 23. ovoga Zakona i poveznicu s proračunom jedinice područne (regionalne) samouprave</w:t>
      </w:r>
    </w:p>
    <w:p w14:paraId="49036BB8" w14:textId="5858F52F" w:rsidR="00167622" w:rsidRPr="00410280" w:rsidRDefault="00167622" w:rsidP="00913A6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0280">
        <w:rPr>
          <w:rFonts w:ascii="Times New Roman" w:hAnsi="Times New Roman" w:cs="Times New Roman"/>
          <w:i/>
          <w:iCs/>
          <w:sz w:val="24"/>
          <w:szCs w:val="24"/>
        </w:rPr>
        <w:t>provedbeni program jedinice područne (regionalne) samouprave donosi se za vrijeme trajanja mandata izvršnog tijela jedinice područne (regionalne) samouprave i vrijedi za taj mandat</w:t>
      </w:r>
    </w:p>
    <w:p w14:paraId="75E153D6" w14:textId="77777777" w:rsidR="00815B7E" w:rsidRPr="00410280" w:rsidRDefault="00815B7E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1EB1" w14:textId="6A575C4B" w:rsidR="00D6274A" w:rsidRPr="00750CBC" w:rsidRDefault="00D6274A" w:rsidP="00750CBC">
      <w:pPr>
        <w:pStyle w:val="Naslov2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color w:val="auto"/>
          <w:sz w:val="24"/>
        </w:rPr>
      </w:pPr>
      <w:bookmarkStart w:id="2" w:name="_Hlk91625731"/>
      <w:bookmarkStart w:id="3" w:name="_Toc91834186"/>
      <w:r w:rsidRPr="00750CBC">
        <w:rPr>
          <w:rFonts w:ascii="Times New Roman" w:hAnsi="Times New Roman" w:cs="Times New Roman"/>
          <w:b/>
          <w:color w:val="auto"/>
          <w:sz w:val="24"/>
        </w:rPr>
        <w:t>STRATEŠKO UPORIŠTE</w:t>
      </w:r>
      <w:r w:rsidR="007A6053" w:rsidRPr="00750CBC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750CBC">
        <w:rPr>
          <w:rFonts w:ascii="Times New Roman" w:hAnsi="Times New Roman" w:cs="Times New Roman"/>
          <w:b/>
          <w:color w:val="auto"/>
          <w:sz w:val="24"/>
        </w:rPr>
        <w:t>-</w:t>
      </w:r>
      <w:r w:rsidR="007A6053" w:rsidRPr="00750CBC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750CBC">
        <w:rPr>
          <w:rFonts w:ascii="Times New Roman" w:hAnsi="Times New Roman" w:cs="Times New Roman"/>
          <w:b/>
          <w:color w:val="auto"/>
          <w:sz w:val="24"/>
        </w:rPr>
        <w:t>NACIONALNA RAZVOJNA STRATEGIJA I PROGRAMI</w:t>
      </w:r>
      <w:bookmarkEnd w:id="3"/>
    </w:p>
    <w:bookmarkEnd w:id="2"/>
    <w:p w14:paraId="48B380E8" w14:textId="77777777" w:rsidR="00D86AFD" w:rsidRPr="00410280" w:rsidRDefault="00D86AF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67AE2" w14:textId="0B5CF5C8" w:rsidR="00167622" w:rsidRPr="00410280" w:rsidRDefault="00247CF9" w:rsidP="00750C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Provedbeni program Općine Majur temeljno uporište će imati u strateški nadređenom aktu Nacionalnoj razvojnoj strategiji Republike Hrvatske do 2030. godine</w:t>
      </w:r>
      <w:r w:rsidR="00D7253C" w:rsidRPr="00410280">
        <w:rPr>
          <w:rFonts w:ascii="Times New Roman" w:hAnsi="Times New Roman" w:cs="Times New Roman"/>
          <w:sz w:val="24"/>
          <w:szCs w:val="24"/>
        </w:rPr>
        <w:t xml:space="preserve"> i to ponajprije u dijelu koji se odnosi na ravnomjeran regionalni razvoj čemu se Općina Majur teži </w:t>
      </w:r>
      <w:r w:rsidR="000257B7" w:rsidRPr="00410280">
        <w:rPr>
          <w:rFonts w:ascii="Times New Roman" w:hAnsi="Times New Roman" w:cs="Times New Roman"/>
          <w:sz w:val="24"/>
          <w:szCs w:val="24"/>
        </w:rPr>
        <w:t>prikloniti</w:t>
      </w:r>
      <w:r w:rsidR="00D7253C" w:rsidRPr="00410280">
        <w:rPr>
          <w:rFonts w:ascii="Times New Roman" w:hAnsi="Times New Roman" w:cs="Times New Roman"/>
          <w:sz w:val="24"/>
          <w:szCs w:val="24"/>
        </w:rPr>
        <w:t>.</w:t>
      </w:r>
      <w:r w:rsidR="00272422" w:rsidRPr="00410280">
        <w:rPr>
          <w:rFonts w:ascii="Times New Roman" w:hAnsi="Times New Roman" w:cs="Times New Roman"/>
          <w:sz w:val="24"/>
          <w:szCs w:val="24"/>
        </w:rPr>
        <w:t xml:space="preserve"> Donošenjem Plana razvoja Sisačko-moslavačke županije isti će biti prilagođen regionalnoj strategiji.  </w:t>
      </w:r>
    </w:p>
    <w:p w14:paraId="5C669C4F" w14:textId="77777777" w:rsidR="009D0E95" w:rsidRPr="00410280" w:rsidRDefault="009D0E95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7978B" w14:textId="77777777" w:rsidR="00847538" w:rsidRPr="00410280" w:rsidRDefault="00D7253C" w:rsidP="00913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DB4590" wp14:editId="09851DB6">
                <wp:simplePos x="0" y="0"/>
                <wp:positionH relativeFrom="column">
                  <wp:posOffset>3474085</wp:posOffset>
                </wp:positionH>
                <wp:positionV relativeFrom="paragraph">
                  <wp:posOffset>0</wp:posOffset>
                </wp:positionV>
                <wp:extent cx="2689860" cy="93573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36AA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DUGORO</w:t>
                            </w:r>
                            <w:r w:rsidRPr="00CD769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NI STRATEŠKI AKT</w:t>
                            </w:r>
                          </w:p>
                          <w:p w14:paraId="0CC2E35D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Nacionalna razvojna strategija Republike Hrvatske do 2030. godine (NRS 2030.)</w:t>
                            </w:r>
                          </w:p>
                          <w:p w14:paraId="2B9924D4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 xml:space="preserve">Razvojni smjerovi:  </w:t>
                            </w:r>
                          </w:p>
                          <w:p w14:paraId="2D269BC7" w14:textId="77777777" w:rsidR="00913A64" w:rsidRPr="00CD769D" w:rsidRDefault="00913A64" w:rsidP="00BE39E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Održivo gospodarstvo i društvo </w:t>
                            </w:r>
                          </w:p>
                          <w:p w14:paraId="3D32F510" w14:textId="77777777" w:rsidR="00913A64" w:rsidRPr="00CD769D" w:rsidRDefault="00913A64" w:rsidP="00BE39E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Ja</w:t>
                            </w:r>
                            <w:r w:rsidRPr="00CD769D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anje otpornosti na krize</w:t>
                            </w:r>
                          </w:p>
                          <w:p w14:paraId="66F0437F" w14:textId="77777777" w:rsidR="00913A64" w:rsidRPr="00CD769D" w:rsidRDefault="00913A64" w:rsidP="00BE39E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Zelena i digitalna tranzicija</w:t>
                            </w:r>
                          </w:p>
                          <w:p w14:paraId="663F52D7" w14:textId="55CE4A9B" w:rsidR="00913A64" w:rsidRPr="00CD769D" w:rsidRDefault="00913A64" w:rsidP="00BE39E6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Ravnomjeran regionalni razvoj</w:t>
                            </w:r>
                          </w:p>
                          <w:p w14:paraId="2659DE92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 xml:space="preserve">Strateški ciljevi 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  <w:u w:val="single"/>
                              </w:rPr>
                              <w:t>Održivo gospodarstvo i društvo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BC400F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1. Konkurentno i inovativno gospodarstvo</w:t>
                            </w:r>
                          </w:p>
                          <w:p w14:paraId="30F2620E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2. Obrazovani i zaposleni ljudi</w:t>
                            </w:r>
                          </w:p>
                          <w:p w14:paraId="5DA88E6C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3. U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inkovito i djelotvorno pravosu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đ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e, javna uprava i upravljanje državnom imovinom</w:t>
                            </w:r>
                          </w:p>
                          <w:p w14:paraId="328971C5" w14:textId="6610F579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bookmarkStart w:id="4" w:name="_Hlk82076107"/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4. Globalna prepoznatljivost i ja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anje me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đ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unarodnog položaja i uloge Hrvatske</w:t>
                            </w:r>
                            <w:bookmarkEnd w:id="4"/>
                          </w:p>
                          <w:p w14:paraId="5DDE6848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 xml:space="preserve">Strateški ciljevi 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  <w:u w:val="single"/>
                              </w:rPr>
                              <w:t>Ja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  <w:u w:val="single"/>
                              </w:rPr>
                              <w:t>anje otpornosti na krize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8538A91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5. Zdrav, aktivan i kvalitetan život</w:t>
                            </w:r>
                          </w:p>
                          <w:p w14:paraId="77F7B28A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6. Demografska revitalizacija i bolji položaj obitelji</w:t>
                            </w:r>
                          </w:p>
                          <w:p w14:paraId="54FA6262" w14:textId="33A602A4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7. Sigurnost za stabilan razvoj</w:t>
                            </w:r>
                          </w:p>
                          <w:p w14:paraId="249D3161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 xml:space="preserve">Strateški ciljevi 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  <w:u w:val="single"/>
                              </w:rPr>
                              <w:t>Zelena i digitalna tranzicija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7C1FAB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8. Ekološka i energetska tranzicija za klimatsku neutralnost</w:t>
                            </w:r>
                          </w:p>
                          <w:p w14:paraId="5DD7BD42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9. Samodostatnost u hrani i razvoj bio gospodarstva</w:t>
                            </w:r>
                          </w:p>
                          <w:p w14:paraId="38847A86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10. Održiva mobilnost</w:t>
                            </w:r>
                          </w:p>
                          <w:p w14:paraId="0AF75D38" w14:textId="02C025B3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11. Digitalna tranzicija društva i gospodarstva</w:t>
                            </w:r>
                          </w:p>
                          <w:p w14:paraId="4EBFEB02" w14:textId="77777777" w:rsidR="00913A64" w:rsidRPr="00CD769D" w:rsidRDefault="00913A64" w:rsidP="00D6274A">
                            <w:pPr>
                              <w:shd w:val="clear" w:color="auto" w:fill="A8D08D" w:themeFill="accent6" w:themeFillTint="99"/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Strateški ciljevi 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Ravnomjeran regionalni razvoj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33A79860" w14:textId="77777777" w:rsidR="00913A64" w:rsidRPr="00CD769D" w:rsidRDefault="00913A64" w:rsidP="00D6274A">
                            <w:pPr>
                              <w:shd w:val="clear" w:color="auto" w:fill="A8D08D" w:themeFill="accent6" w:themeFillTint="99"/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SC 12. Razvoj potpomognutih podru</w:t>
                            </w:r>
                            <w:r w:rsidRPr="00CD769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ja i podru</w:t>
                            </w:r>
                            <w:r w:rsidRPr="00CD769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sz w:val="20"/>
                                <w:szCs w:val="20"/>
                              </w:rPr>
                              <w:t>ja s razvojnim posebnostima</w:t>
                            </w:r>
                          </w:p>
                          <w:p w14:paraId="3F8D5CE3" w14:textId="77777777" w:rsidR="00913A64" w:rsidRPr="00CD769D" w:rsidRDefault="00913A64" w:rsidP="00BE39E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SC 13. Ja</w:t>
                            </w:r>
                            <w:r w:rsidRPr="00CD76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 w:rsidRPr="00CD769D"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  <w:t>anje regionalne konkurentnosti</w:t>
                            </w:r>
                          </w:p>
                          <w:p w14:paraId="0B57E2C8" w14:textId="49665F71" w:rsidR="00913A64" w:rsidRPr="00CD769D" w:rsidRDefault="00913A64" w:rsidP="00CF0196">
                            <w:pPr>
                              <w:jc w:val="both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4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5pt;margin-top:0;width:211.8pt;height:7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" strokecolor="black [3213]" strokeweight="1pt">
                <v:textbox>
                  <w:txbxContent>
                    <w:p w14:paraId="4D4936AA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DUGORO</w:t>
                      </w:r>
                      <w:r w:rsidRPr="00CD769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NI STRATEŠKI AKT</w:t>
                      </w:r>
                    </w:p>
                    <w:p w14:paraId="0CC2E35D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  <w:u w:val="single"/>
                        </w:rPr>
                        <w:t>Nacionalna razvojna strategija Republike Hrvatske do 2030. godine (NRS 2030.)</w:t>
                      </w:r>
                    </w:p>
                    <w:p w14:paraId="2B9924D4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 xml:space="preserve">Razvojni smjerovi:  </w:t>
                      </w:r>
                    </w:p>
                    <w:p w14:paraId="2D269BC7" w14:textId="77777777" w:rsidR="00913A64" w:rsidRPr="00CD769D" w:rsidRDefault="00913A64" w:rsidP="00BE39E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Održivo gospodarstvo i društvo </w:t>
                      </w:r>
                    </w:p>
                    <w:p w14:paraId="3D32F510" w14:textId="77777777" w:rsidR="00913A64" w:rsidRPr="00CD769D" w:rsidRDefault="00913A64" w:rsidP="00BE39E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  <w:t>Ja</w:t>
                      </w:r>
                      <w:r w:rsidRPr="00CD769D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  <w:u w:val="single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  <w:t>anje otpornosti na krize</w:t>
                      </w:r>
                    </w:p>
                    <w:p w14:paraId="66F0437F" w14:textId="77777777" w:rsidR="00913A64" w:rsidRPr="00CD769D" w:rsidRDefault="00913A64" w:rsidP="00BE39E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  <w:t>Zelena i digitalna tranzicija</w:t>
                      </w:r>
                    </w:p>
                    <w:p w14:paraId="663F52D7" w14:textId="55CE4A9B" w:rsidR="00913A64" w:rsidRPr="00CD769D" w:rsidRDefault="00913A64" w:rsidP="00BE39E6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  <w:u w:val="single"/>
                        </w:rPr>
                        <w:t>Ravnomjeran regionalni razvoj</w:t>
                      </w:r>
                    </w:p>
                    <w:p w14:paraId="2659DE92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 xml:space="preserve">Strateški ciljevi 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  <w:u w:val="single"/>
                        </w:rPr>
                        <w:t>Održivo gospodarstvo i društvo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:</w:t>
                      </w:r>
                    </w:p>
                    <w:p w14:paraId="60BC400F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1. Konkurentno i inovativno gospodarstvo</w:t>
                      </w:r>
                    </w:p>
                    <w:p w14:paraId="30F2620E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2. Obrazovani i zaposleni ljudi</w:t>
                      </w:r>
                    </w:p>
                    <w:p w14:paraId="5DA88E6C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3. U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inkovito i djelotvorno pravosu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</w:rPr>
                        <w:t>đ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e, javna uprava i upravljanje državnom imovinom</w:t>
                      </w:r>
                    </w:p>
                    <w:p w14:paraId="328971C5" w14:textId="6610F579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bookmarkStart w:id="5" w:name="_Hlk82076107"/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4. Globalna prepoznatljivost i ja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anje me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</w:rPr>
                        <w:t>đ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unarodnog položaja i uloge Hrvatske</w:t>
                      </w:r>
                      <w:bookmarkEnd w:id="5"/>
                    </w:p>
                    <w:p w14:paraId="5DDE6848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 xml:space="preserve">Strateški ciljevi 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  <w:u w:val="single"/>
                        </w:rPr>
                        <w:t>Ja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  <w:u w:val="single"/>
                        </w:rPr>
                        <w:t>anje otpornosti na krize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:</w:t>
                      </w:r>
                    </w:p>
                    <w:p w14:paraId="38538A91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5. Zdrav, aktivan i kvalitetan život</w:t>
                      </w:r>
                    </w:p>
                    <w:p w14:paraId="77F7B28A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6. Demografska revitalizacija i bolji položaj obitelji</w:t>
                      </w:r>
                    </w:p>
                    <w:p w14:paraId="54FA6262" w14:textId="33A602A4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7. Sigurnost za stabilan razvoj</w:t>
                      </w:r>
                    </w:p>
                    <w:p w14:paraId="249D3161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i/>
                          <w:iCs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 xml:space="preserve">Strateški ciljevi 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  <w:u w:val="single"/>
                        </w:rPr>
                        <w:t>Zelena i digitalna tranzicija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:</w:t>
                      </w:r>
                    </w:p>
                    <w:p w14:paraId="3D7C1FAB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8. Ekološka i energetska tranzicija za klimatsku neutralnost</w:t>
                      </w:r>
                    </w:p>
                    <w:p w14:paraId="5DD7BD42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9. Samodostatnost u hrani i razvoj bio gospodarstva</w:t>
                      </w:r>
                    </w:p>
                    <w:p w14:paraId="38847A86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10. Održiva mobilnost</w:t>
                      </w:r>
                    </w:p>
                    <w:p w14:paraId="0AF75D38" w14:textId="02C025B3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11. Digitalna tranzicija društva i gospodarstva</w:t>
                      </w:r>
                    </w:p>
                    <w:p w14:paraId="4EBFEB02" w14:textId="77777777" w:rsidR="00913A64" w:rsidRPr="00CD769D" w:rsidRDefault="00913A64" w:rsidP="00D6274A">
                      <w:pPr>
                        <w:shd w:val="clear" w:color="auto" w:fill="A8D08D" w:themeFill="accent6" w:themeFillTint="99"/>
                        <w:jc w:val="both"/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 xml:space="preserve">Strateški ciljevi </w:t>
                      </w: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  <w:u w:val="single"/>
                        </w:rPr>
                        <w:t>Ravnomjeran regionalni razvoj</w:t>
                      </w: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 xml:space="preserve"> :</w:t>
                      </w:r>
                    </w:p>
                    <w:p w14:paraId="33A79860" w14:textId="77777777" w:rsidR="00913A64" w:rsidRPr="00CD769D" w:rsidRDefault="00913A64" w:rsidP="00D6274A">
                      <w:pPr>
                        <w:shd w:val="clear" w:color="auto" w:fill="A8D08D" w:themeFill="accent6" w:themeFillTint="99"/>
                        <w:jc w:val="both"/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SC 12. Razvoj potpomognutih podru</w:t>
                      </w:r>
                      <w:r w:rsidRPr="00CD769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ja i podru</w:t>
                      </w:r>
                      <w:r w:rsidRPr="00CD769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b/>
                          <w:bCs/>
                          <w:sz w:val="20"/>
                          <w:szCs w:val="20"/>
                        </w:rPr>
                        <w:t>ja s razvojnim posebnostima</w:t>
                      </w:r>
                    </w:p>
                    <w:p w14:paraId="3F8D5CE3" w14:textId="77777777" w:rsidR="00913A64" w:rsidRPr="00CD769D" w:rsidRDefault="00913A64" w:rsidP="00BE39E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SC 13. Ja</w:t>
                      </w:r>
                      <w:r w:rsidRPr="00CD769D"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 w:rsidRPr="00CD769D"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  <w:t>anje regionalne konkurentnosti</w:t>
                      </w:r>
                    </w:p>
                    <w:p w14:paraId="0B57E2C8" w14:textId="49665F71" w:rsidR="00913A64" w:rsidRPr="00CD769D" w:rsidRDefault="00913A64" w:rsidP="00CF0196">
                      <w:pPr>
                        <w:jc w:val="both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102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E6AC8A1" wp14:editId="08CFA097">
            <wp:extent cx="3077845" cy="7992866"/>
            <wp:effectExtent l="19050" t="19050" r="2730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7911" cy="804497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D9A90B" w14:textId="77777777" w:rsidR="00847538" w:rsidRPr="00410280" w:rsidRDefault="0084753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>Prilikom definiranja razvojnih mjera i aktivnosti u obzir će se uzeti i Programi Vlade Republike Hrvatske, posebice onaj od izuzetnog značaja za budući razvoj Sisačko-moslavačke županije i područja općine Majur:</w:t>
      </w:r>
    </w:p>
    <w:p w14:paraId="79720478" w14:textId="48AE6D08" w:rsidR="00847538" w:rsidRPr="00410280" w:rsidRDefault="00847538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društvene i gospodarske revitalizacije potpomognutih područja Sisačko-moslavačke županije pogođenih potresom</w:t>
      </w:r>
      <w:bookmarkStart w:id="6" w:name="_Hlk80541211"/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20"/>
        <w:gridCol w:w="7557"/>
      </w:tblGrid>
      <w:tr w:rsidR="00847538" w:rsidRPr="00410280" w14:paraId="004F11DC" w14:textId="77777777" w:rsidTr="00DB6CD6">
        <w:trPr>
          <w:trHeight w:val="787"/>
          <w:jc w:val="center"/>
        </w:trPr>
        <w:tc>
          <w:tcPr>
            <w:tcW w:w="2420" w:type="dxa"/>
            <w:shd w:val="clear" w:color="auto" w:fill="A8D08D" w:themeFill="accent6" w:themeFillTint="99"/>
            <w:noWrap/>
            <w:vAlign w:val="center"/>
            <w:hideMark/>
          </w:tcPr>
          <w:p w14:paraId="272819BA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STRATEŠKI SMJER 1. </w:t>
            </w:r>
          </w:p>
        </w:tc>
        <w:tc>
          <w:tcPr>
            <w:tcW w:w="7557" w:type="dxa"/>
            <w:shd w:val="clear" w:color="auto" w:fill="A8D08D" w:themeFill="accent6" w:themeFillTint="99"/>
            <w:noWrap/>
            <w:vAlign w:val="center"/>
            <w:hideMark/>
          </w:tcPr>
          <w:p w14:paraId="486FB3B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POTICANJE RAZVOJA OSNOVNIH ČINITELJA KONKURETNOSTI ŽUPANIJE  </w:t>
            </w:r>
          </w:p>
        </w:tc>
      </w:tr>
      <w:tr w:rsidR="00847538" w:rsidRPr="00410280" w14:paraId="619CA071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A8D08D" w:themeFill="accent6" w:themeFillTint="99"/>
            <w:noWrap/>
            <w:vAlign w:val="center"/>
          </w:tcPr>
          <w:p w14:paraId="746CE13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Poseban cilj 1. </w:t>
            </w:r>
          </w:p>
        </w:tc>
        <w:tc>
          <w:tcPr>
            <w:tcW w:w="7557" w:type="dxa"/>
            <w:shd w:val="clear" w:color="auto" w:fill="A8D08D" w:themeFill="accent6" w:themeFillTint="99"/>
            <w:vAlign w:val="center"/>
          </w:tcPr>
          <w:p w14:paraId="1009C379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POVEĆANJE PRODUKTIVNOSTI I ZAPOSLENOSTI</w:t>
            </w:r>
          </w:p>
        </w:tc>
      </w:tr>
      <w:tr w:rsidR="00847538" w:rsidRPr="00410280" w14:paraId="68BE3153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50C404B0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MJERA 1.1.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0AF4B486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Povećanje kapaciteta zapošljavanja u gospodarstvu Županije</w:t>
            </w:r>
          </w:p>
        </w:tc>
      </w:tr>
      <w:tr w:rsidR="00847538" w:rsidRPr="00410280" w14:paraId="5BB01095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63772347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6C914AB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Porast broja poduzetnika, obrtnika i OPG-ova (start-</w:t>
            </w:r>
            <w:proofErr w:type="spellStart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poduzeća)</w:t>
            </w:r>
          </w:p>
          <w:p w14:paraId="1CECF660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Porast broja zaposlenih</w:t>
            </w:r>
          </w:p>
          <w:p w14:paraId="49B47FE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dohodovne snage stanovništva</w:t>
            </w:r>
          </w:p>
          <w:p w14:paraId="2C9B1E7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izvornih proračunskih prihoda temeljenih na ekonomskoj snazi lokalnog stanovništva</w:t>
            </w:r>
          </w:p>
          <w:p w14:paraId="55EC0CB3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Poticanje tranzicije postojećih gospodarskih subjekata u svrhu zapošljavanja stanovništva</w:t>
            </w:r>
          </w:p>
        </w:tc>
      </w:tr>
      <w:tr w:rsidR="00847538" w:rsidRPr="00410280" w14:paraId="32391CD2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0C791101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1.2. 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1B8E03EB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Jačanje produktivnih kapaciteta gospodarstva Županije</w:t>
            </w:r>
          </w:p>
        </w:tc>
      </w:tr>
      <w:tr w:rsidR="00847538" w:rsidRPr="00410280" w14:paraId="4B882D1D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541384F2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0BE01DE5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investicijskih aktivnosti u gospodarstvu Županije</w:t>
            </w:r>
          </w:p>
          <w:p w14:paraId="2FE795D6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produktivnosti rada gospodarstva Županije</w:t>
            </w:r>
          </w:p>
          <w:p w14:paraId="626BFCB2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Veći stupanj diversifikacije gospodarske strukture Županije</w:t>
            </w:r>
          </w:p>
          <w:p w14:paraId="63CA1D37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Povećanje izvornih proračunskih prihoda temeljenih na ekonomskoj snazi lokalnih poduzeća </w:t>
            </w:r>
          </w:p>
          <w:p w14:paraId="5BCFBE0A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Unapređenje drvno-prerađivačkog sektora</w:t>
            </w:r>
          </w:p>
          <w:p w14:paraId="4BBA7786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poduzeća koja razvijaju nove tehnologije (</w:t>
            </w:r>
            <w:proofErr w:type="spellStart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gaming</w:t>
            </w:r>
            <w:proofErr w:type="spellEnd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industrija, autoindustrija, ICT industrija)</w:t>
            </w:r>
          </w:p>
        </w:tc>
      </w:tr>
      <w:tr w:rsidR="00847538" w:rsidRPr="00410280" w14:paraId="4333FCEE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42379EC8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1.3. 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6AD3320D" w14:textId="77777777" w:rsidR="00847538" w:rsidRPr="00410280" w:rsidRDefault="00847538" w:rsidP="00B70FB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Povećanje atraktivnosti i funkcionalnosti poslovnog i gospodarskog okruženja u Županiji</w:t>
            </w:r>
          </w:p>
        </w:tc>
      </w:tr>
      <w:tr w:rsidR="00847538" w:rsidRPr="00410280" w14:paraId="48B0618B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3C7B18FE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597A9CA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dostupnosti i kvalitete poduzetničke i gospodarske infrastrukture</w:t>
            </w:r>
          </w:p>
          <w:p w14:paraId="4FD82DA6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neporeznih izvornih proračunskih prihoda</w:t>
            </w:r>
          </w:p>
          <w:p w14:paraId="335C0CA0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Unaprjeđenje sustava podrške razvoju privatnog sektora</w:t>
            </w:r>
          </w:p>
          <w:p w14:paraId="6D5D2F5D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kvalitete poslovnog i strateškog planiranja i upravljanja u javnom i privatnom sektoru</w:t>
            </w:r>
          </w:p>
          <w:p w14:paraId="2AEEE970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upotrebe informacijsko-komunikacijske tehnologije</w:t>
            </w:r>
          </w:p>
          <w:p w14:paraId="2A7E41D5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Poticanje strojarskog i metaloprerađivačkog sektora</w:t>
            </w:r>
          </w:p>
        </w:tc>
      </w:tr>
      <w:tr w:rsidR="00847538" w:rsidRPr="00410280" w14:paraId="04D414DF" w14:textId="77777777" w:rsidTr="00DB6CD6">
        <w:trPr>
          <w:trHeight w:val="447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319AF12E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1.4.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202349D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 održive poljoprivrede</w:t>
            </w:r>
          </w:p>
        </w:tc>
      </w:tr>
      <w:tr w:rsidR="00847538" w:rsidRPr="00410280" w14:paraId="12A89AC1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57317418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1F3FA8B1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OPG-a</w:t>
            </w:r>
          </w:p>
          <w:p w14:paraId="68375E52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stočnih grla</w:t>
            </w:r>
          </w:p>
          <w:p w14:paraId="2F2A6FB1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voćarskih nasada</w:t>
            </w:r>
          </w:p>
          <w:p w14:paraId="0A0BB577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ekoloških proizvoda</w:t>
            </w:r>
          </w:p>
          <w:p w14:paraId="7E3D59BD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Poticanje razvoja poljoprivredno-prehrambenog sektora</w:t>
            </w:r>
          </w:p>
        </w:tc>
      </w:tr>
      <w:tr w:rsidR="00847538" w:rsidRPr="00410280" w14:paraId="51BC0B8C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69459196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Mjera 1.5.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2CEF1F87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Razvoj održivog turizma i očuvanje prirodne  i  kulturne  baštine</w:t>
            </w:r>
          </w:p>
          <w:p w14:paraId="6C99576E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538" w:rsidRPr="00410280" w14:paraId="7545137A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3613EBFA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3550A1C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Povećanje ulaganja u turistički sektor </w:t>
            </w:r>
          </w:p>
          <w:p w14:paraId="715BEFFD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noćenja i dolazaka turista</w:t>
            </w:r>
          </w:p>
          <w:p w14:paraId="6F12B7CA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Revitalizacija lječilišta </w:t>
            </w:r>
            <w:proofErr w:type="spellStart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  <w:p w14:paraId="3C21BC6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posjetitelja kulturne i prirodne baštine</w:t>
            </w:r>
          </w:p>
        </w:tc>
      </w:tr>
      <w:tr w:rsidR="00847538" w:rsidRPr="00410280" w14:paraId="4A41D684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760936A3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1.6.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5A820D37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Veća apsorpcija EU fondova </w:t>
            </w:r>
          </w:p>
        </w:tc>
      </w:tr>
      <w:tr w:rsidR="00847538" w:rsidRPr="00410280" w14:paraId="30BC5C4F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5ACF5021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Cs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noWrap/>
            <w:vAlign w:val="center"/>
          </w:tcPr>
          <w:p w14:paraId="5E41FB72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Cs/>
                <w:sz w:val="24"/>
                <w:szCs w:val="24"/>
              </w:rPr>
              <w:t>Povećanje zaposlenosti</w:t>
            </w:r>
          </w:p>
          <w:p w14:paraId="24582F1D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Cs/>
                <w:sz w:val="24"/>
                <w:szCs w:val="24"/>
              </w:rPr>
              <w:t>Porast broja poduzetnika i obrtnika</w:t>
            </w:r>
          </w:p>
          <w:p w14:paraId="6614382F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Cs/>
                <w:sz w:val="24"/>
                <w:szCs w:val="24"/>
              </w:rPr>
              <w:t>Povećanje kapaciteta lokalnih proračuna</w:t>
            </w:r>
          </w:p>
        </w:tc>
      </w:tr>
      <w:tr w:rsidR="00847538" w:rsidRPr="00410280" w14:paraId="0204AF5A" w14:textId="77777777" w:rsidTr="00DB6CD6">
        <w:trPr>
          <w:trHeight w:val="285"/>
          <w:jc w:val="center"/>
        </w:trPr>
        <w:tc>
          <w:tcPr>
            <w:tcW w:w="2420" w:type="dxa"/>
            <w:shd w:val="clear" w:color="auto" w:fill="A8D08D" w:themeFill="accent6" w:themeFillTint="99"/>
            <w:noWrap/>
            <w:vAlign w:val="center"/>
            <w:hideMark/>
          </w:tcPr>
          <w:p w14:paraId="452E187E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Poseban cilj   2.</w:t>
            </w:r>
          </w:p>
        </w:tc>
        <w:tc>
          <w:tcPr>
            <w:tcW w:w="7557" w:type="dxa"/>
            <w:shd w:val="clear" w:color="auto" w:fill="A8D08D" w:themeFill="accent6" w:themeFillTint="99"/>
            <w:noWrap/>
            <w:vAlign w:val="center"/>
            <w:hideMark/>
          </w:tcPr>
          <w:p w14:paraId="6C368121" w14:textId="37DC6BD5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DEMOGRAFSKA</w:t>
            </w:r>
            <w:r w:rsidR="0056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REVITALIZACIJA </w:t>
            </w:r>
          </w:p>
        </w:tc>
      </w:tr>
      <w:tr w:rsidR="00847538" w:rsidRPr="00410280" w14:paraId="16625429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08C7B397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2.1.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70415B8E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Zadržavanje postojećeg i poticanje doseljavanja novog stanovništva </w:t>
            </w:r>
          </w:p>
        </w:tc>
      </w:tr>
      <w:tr w:rsidR="00847538" w:rsidRPr="00410280" w14:paraId="4350F158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55435DB8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146F37D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Povećanje broja stanovnika </w:t>
            </w:r>
          </w:p>
          <w:p w14:paraId="09BEA880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kućanstava</w:t>
            </w:r>
          </w:p>
          <w:p w14:paraId="7252E51A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kvalitete života i dostupnosti lokalnih sadržaja i usluga</w:t>
            </w:r>
          </w:p>
          <w:p w14:paraId="712C15E5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obrazovnih mogućnosti za stanovništvo</w:t>
            </w:r>
          </w:p>
        </w:tc>
      </w:tr>
      <w:tr w:rsidR="00847538" w:rsidRPr="00410280" w14:paraId="2979E6A0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1347A040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2.2.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3DDB8494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Poticanje prirodnog prirasta stanovništva </w:t>
            </w:r>
          </w:p>
        </w:tc>
      </w:tr>
      <w:tr w:rsidR="00847538" w:rsidRPr="00410280" w14:paraId="1A1A85ED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44915F31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17FDB731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nataliteta i prirodnog prirasta stanovništva</w:t>
            </w:r>
          </w:p>
          <w:p w14:paraId="7B6984D9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odgojno-obrazovnih kapaciteta za djecu</w:t>
            </w:r>
          </w:p>
        </w:tc>
      </w:tr>
      <w:tr w:rsidR="00847538" w:rsidRPr="00410280" w14:paraId="5B37ED8B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069089C7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2.3.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72023F01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Ekonomska i socijalna integracija starijeg stanovništva u lokalnu zajednicu </w:t>
            </w:r>
          </w:p>
        </w:tc>
      </w:tr>
      <w:tr w:rsidR="00847538" w:rsidRPr="00410280" w14:paraId="0BDF2147" w14:textId="77777777" w:rsidTr="00DB6CD6">
        <w:trPr>
          <w:trHeight w:val="570"/>
          <w:jc w:val="center"/>
        </w:trPr>
        <w:tc>
          <w:tcPr>
            <w:tcW w:w="2420" w:type="dxa"/>
            <w:shd w:val="clear" w:color="auto" w:fill="FFFFFF" w:themeFill="background1"/>
            <w:noWrap/>
            <w:vAlign w:val="center"/>
          </w:tcPr>
          <w:p w14:paraId="0BA0C1CB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557" w:type="dxa"/>
            <w:shd w:val="clear" w:color="auto" w:fill="FFFFFF" w:themeFill="background1"/>
            <w:vAlign w:val="center"/>
          </w:tcPr>
          <w:p w14:paraId="3137497C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dostupnih usluga i sadržaja za starije osobe</w:t>
            </w:r>
          </w:p>
          <w:p w14:paraId="310AF17D" w14:textId="77777777" w:rsidR="00847538" w:rsidRPr="00410280" w:rsidRDefault="00847538" w:rsidP="00B70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Veća zastupljenost starijih osoba u aktivnostima lokalne zajednice</w:t>
            </w:r>
          </w:p>
        </w:tc>
      </w:tr>
    </w:tbl>
    <w:p w14:paraId="187C508C" w14:textId="5F4537D3" w:rsidR="00847538" w:rsidRPr="00410280" w:rsidRDefault="00847538" w:rsidP="00913A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B8519" w14:textId="77777777" w:rsidR="009D0E95" w:rsidRPr="00410280" w:rsidRDefault="009D0E95" w:rsidP="00913A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542"/>
        <w:gridCol w:w="7433"/>
      </w:tblGrid>
      <w:tr w:rsidR="00847538" w:rsidRPr="00410280" w14:paraId="126444A0" w14:textId="77777777" w:rsidTr="00DB6CD6">
        <w:trPr>
          <w:trHeight w:val="251"/>
          <w:jc w:val="center"/>
        </w:trPr>
        <w:tc>
          <w:tcPr>
            <w:tcW w:w="2542" w:type="dxa"/>
            <w:shd w:val="clear" w:color="auto" w:fill="A8D08D" w:themeFill="accent6" w:themeFillTint="99"/>
            <w:noWrap/>
            <w:vAlign w:val="center"/>
            <w:hideMark/>
          </w:tcPr>
          <w:p w14:paraId="742AD436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STRATEŠKI SMJER 2.</w:t>
            </w:r>
          </w:p>
        </w:tc>
        <w:tc>
          <w:tcPr>
            <w:tcW w:w="7433" w:type="dxa"/>
            <w:shd w:val="clear" w:color="auto" w:fill="A8D08D" w:themeFill="accent6" w:themeFillTint="99"/>
            <w:noWrap/>
            <w:vAlign w:val="center"/>
            <w:hideMark/>
          </w:tcPr>
          <w:p w14:paraId="2A1C1527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OTKLANJANJE I UBLAŽAVANJE POSLJEDICA UZROKOVANIH POTRESOM  </w:t>
            </w:r>
          </w:p>
        </w:tc>
      </w:tr>
      <w:tr w:rsidR="00847538" w:rsidRPr="00410280" w14:paraId="1C6643B6" w14:textId="77777777" w:rsidTr="00DB6CD6">
        <w:trPr>
          <w:trHeight w:val="503"/>
          <w:jc w:val="center"/>
        </w:trPr>
        <w:tc>
          <w:tcPr>
            <w:tcW w:w="2542" w:type="dxa"/>
            <w:shd w:val="clear" w:color="auto" w:fill="A8D08D" w:themeFill="accent6" w:themeFillTint="99"/>
            <w:noWrap/>
            <w:vAlign w:val="center"/>
          </w:tcPr>
          <w:p w14:paraId="2BA95E3B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Poseban cilj 3. </w:t>
            </w:r>
          </w:p>
        </w:tc>
        <w:tc>
          <w:tcPr>
            <w:tcW w:w="7433" w:type="dxa"/>
            <w:shd w:val="clear" w:color="auto" w:fill="A8D08D" w:themeFill="accent6" w:themeFillTint="99"/>
            <w:vAlign w:val="center"/>
          </w:tcPr>
          <w:p w14:paraId="1B90C870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STAMBENIH I POSLOVNIH  OBJEKATA</w:t>
            </w:r>
          </w:p>
        </w:tc>
      </w:tr>
      <w:tr w:rsidR="00847538" w:rsidRPr="00410280" w14:paraId="638AA5C9" w14:textId="77777777" w:rsidTr="00DB6CD6">
        <w:trPr>
          <w:trHeight w:val="503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1A405A7C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3.1.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31DC17D2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Obnova stambenih i poslovnih objekata</w:t>
            </w:r>
          </w:p>
        </w:tc>
      </w:tr>
      <w:tr w:rsidR="00847538" w:rsidRPr="00410280" w14:paraId="32309B77" w14:textId="77777777" w:rsidTr="00DB6CD6">
        <w:trPr>
          <w:trHeight w:val="503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5906E955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79324F7F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Osiguranje primjerene razine stanovanja te kvalitete života</w:t>
            </w:r>
          </w:p>
          <w:p w14:paraId="1A20B160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Održanje postojećeg broja poduzetnika i obrtnika</w:t>
            </w:r>
          </w:p>
          <w:p w14:paraId="73417BA0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Reaktivacija poslovanja potresom pogođenih poslovnih subjekata</w:t>
            </w:r>
          </w:p>
        </w:tc>
      </w:tr>
      <w:tr w:rsidR="00847538" w:rsidRPr="00410280" w14:paraId="500D0882" w14:textId="77777777" w:rsidTr="00DB6CD6">
        <w:trPr>
          <w:trHeight w:val="691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0DC90544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3.2.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73DBBDCB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Izgradnja novih stambenih i poslovnih objekata</w:t>
            </w:r>
          </w:p>
        </w:tc>
      </w:tr>
      <w:tr w:rsidR="00847538" w:rsidRPr="00410280" w14:paraId="195642DF" w14:textId="77777777" w:rsidTr="00DB6CD6">
        <w:trPr>
          <w:trHeight w:val="691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1F0C557F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37389CB0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stanovnika</w:t>
            </w:r>
          </w:p>
          <w:p w14:paraId="11DFE495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Porast broja poduzetnika, obrtnika, OPG-a (start-</w:t>
            </w:r>
            <w:proofErr w:type="spellStart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poduzeća)</w:t>
            </w:r>
          </w:p>
          <w:p w14:paraId="5550D708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Porast broja zaposlenih</w:t>
            </w:r>
          </w:p>
        </w:tc>
      </w:tr>
      <w:tr w:rsidR="00847538" w:rsidRPr="00410280" w14:paraId="043FA3BC" w14:textId="77777777" w:rsidTr="00DB6CD6">
        <w:trPr>
          <w:trHeight w:val="691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1D502D3F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MJERA 3.3.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27E48143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Financijska podrška stanovništvu, poduzetnicima i obrtnicima</w:t>
            </w:r>
          </w:p>
        </w:tc>
      </w:tr>
      <w:tr w:rsidR="00847538" w:rsidRPr="00410280" w14:paraId="1EEFE751" w14:textId="77777777" w:rsidTr="00DB6CD6">
        <w:trPr>
          <w:trHeight w:val="691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18792636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7ABBA0F5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broja poduzetnika te poticanje rasta i razvoja postojećih poduzetnika. Povećanje kapitalne i tehnološke opremljenosti rada poduzetnika i obrtnika</w:t>
            </w:r>
          </w:p>
          <w:p w14:paraId="0B1AD1D1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Rast zaposlenosti i dohotka</w:t>
            </w:r>
          </w:p>
        </w:tc>
      </w:tr>
      <w:tr w:rsidR="00847538" w:rsidRPr="00410280" w14:paraId="1D0411AE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8D08D" w:themeFill="accent6" w:themeFillTint="99"/>
            <w:noWrap/>
            <w:vAlign w:val="center"/>
          </w:tcPr>
          <w:p w14:paraId="7489BE3A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Poseban cilj 4. </w:t>
            </w:r>
          </w:p>
        </w:tc>
        <w:tc>
          <w:tcPr>
            <w:tcW w:w="7433" w:type="dxa"/>
            <w:shd w:val="clear" w:color="auto" w:fill="A8D08D" w:themeFill="accent6" w:themeFillTint="99"/>
            <w:vAlign w:val="center"/>
          </w:tcPr>
          <w:p w14:paraId="6353B2ED" w14:textId="77777777" w:rsidR="00847538" w:rsidRPr="00410280" w:rsidRDefault="00847538" w:rsidP="00561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OBNOVA I IZGRADNJA NUŽNE DRUŠTVENE I GOSPODARSKE INFRASTRUKTURE </w:t>
            </w:r>
          </w:p>
        </w:tc>
      </w:tr>
      <w:tr w:rsidR="00847538" w:rsidRPr="00410280" w14:paraId="05059DA7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4027030C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4.1.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33ACBE19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Obnova i izgradnja komunalne, prometne, energetske i digitalne infrastrukture </w:t>
            </w:r>
          </w:p>
        </w:tc>
      </w:tr>
      <w:tr w:rsidR="00847538" w:rsidRPr="00410280" w14:paraId="45E2F414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437DB79B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48F98807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Podizanje razine standarda mrežne javne infrastrukture</w:t>
            </w:r>
          </w:p>
          <w:p w14:paraId="27E462C4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stupnja priključenosti stanovništva na mrežnu javnu infrastrukturu</w:t>
            </w:r>
          </w:p>
          <w:p w14:paraId="7FADB418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produktivnosti poslovnih subjekata</w:t>
            </w:r>
          </w:p>
        </w:tc>
      </w:tr>
      <w:tr w:rsidR="00847538" w:rsidRPr="00410280" w14:paraId="78D1FE2C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2EBA8ABE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4.2.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45696EF1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Obnova i izgradnja svih područja društvene infrastrukture </w:t>
            </w:r>
          </w:p>
        </w:tc>
      </w:tr>
      <w:tr w:rsidR="00847538" w:rsidRPr="00410280" w14:paraId="22039FC7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2B10CA08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3E236C0C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razine standarda javne društvene infrastrukture</w:t>
            </w:r>
          </w:p>
          <w:p w14:paraId="6FF4EBB6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kvalitete života</w:t>
            </w:r>
          </w:p>
        </w:tc>
      </w:tr>
      <w:tr w:rsidR="00847538" w:rsidRPr="00410280" w14:paraId="78E0612D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0015561C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MJERA 4.3.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4D952838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Razminiranje miniranog područja</w:t>
            </w:r>
          </w:p>
          <w:p w14:paraId="6E34C116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38" w:rsidRPr="00410280" w14:paraId="3011B3C1" w14:textId="77777777" w:rsidTr="00DB6CD6">
        <w:trPr>
          <w:trHeight w:val="860"/>
          <w:jc w:val="center"/>
        </w:trPr>
        <w:tc>
          <w:tcPr>
            <w:tcW w:w="2542" w:type="dxa"/>
            <w:shd w:val="clear" w:color="auto" w:fill="auto"/>
            <w:noWrap/>
            <w:vAlign w:val="center"/>
          </w:tcPr>
          <w:p w14:paraId="52FCE2AC" w14:textId="77777777" w:rsidR="00847538" w:rsidRPr="00410280" w:rsidRDefault="00847538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7433" w:type="dxa"/>
            <w:shd w:val="clear" w:color="auto" w:fill="auto"/>
            <w:vAlign w:val="center"/>
          </w:tcPr>
          <w:p w14:paraId="4A90CCE8" w14:textId="77777777" w:rsidR="00847538" w:rsidRPr="00410280" w:rsidRDefault="00847538" w:rsidP="00DD5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Povećanje kvalitete i sigurnosti života</w:t>
            </w:r>
          </w:p>
        </w:tc>
      </w:tr>
    </w:tbl>
    <w:p w14:paraId="44BC9DA0" w14:textId="6499C81F" w:rsidR="00DB6CD6" w:rsidRDefault="00847538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Tablica </w:t>
      </w:r>
      <w:r w:rsidR="00815B7E" w:rsidRPr="00410280">
        <w:rPr>
          <w:rFonts w:ascii="Times New Roman" w:hAnsi="Times New Roman" w:cs="Times New Roman"/>
          <w:sz w:val="24"/>
          <w:szCs w:val="24"/>
        </w:rPr>
        <w:t>1</w:t>
      </w:r>
      <w:r w:rsidRPr="00410280">
        <w:rPr>
          <w:rFonts w:ascii="Times New Roman" w:hAnsi="Times New Roman" w:cs="Times New Roman"/>
          <w:sz w:val="24"/>
          <w:szCs w:val="24"/>
        </w:rPr>
        <w:t>. (Izvor:</w:t>
      </w:r>
      <w:r w:rsidRPr="00E4393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D5576" w:rsidRPr="00E43934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https://esavjetovanja.gov.hr/ECon/MainScreen?entityId=17226</w:t>
        </w:r>
      </w:hyperlink>
      <w:r w:rsidRPr="00410280">
        <w:rPr>
          <w:rFonts w:ascii="Times New Roman" w:hAnsi="Times New Roman" w:cs="Times New Roman"/>
          <w:sz w:val="24"/>
          <w:szCs w:val="24"/>
        </w:rPr>
        <w:t>)</w:t>
      </w:r>
      <w:bookmarkEnd w:id="6"/>
    </w:p>
    <w:p w14:paraId="3B6282A1" w14:textId="754450D5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DDDFEE" w14:textId="0CF1B49A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A37A3" w14:textId="0AC7FEF4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C9428" w14:textId="136350F8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5F091" w14:textId="18CFF7FC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93A1D" w14:textId="15D498E5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FA3819" w14:textId="1575F8B7" w:rsidR="00DD5576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D343DE" w14:textId="77777777" w:rsidR="00DD5576" w:rsidRPr="00410280" w:rsidRDefault="00DD5576" w:rsidP="00DD5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BF03CC" w14:textId="3B80EDB1" w:rsidR="00CD769D" w:rsidRPr="00D01DB3" w:rsidRDefault="002D2041" w:rsidP="00AA4052">
      <w:pPr>
        <w:pStyle w:val="Naslov2"/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7" w:name="_Toc91834187"/>
      <w:r w:rsidRPr="00D01DB3">
        <w:rPr>
          <w:rFonts w:ascii="Times New Roman" w:hAnsi="Times New Roman" w:cs="Times New Roman"/>
          <w:b/>
          <w:color w:val="auto"/>
          <w:sz w:val="24"/>
        </w:rPr>
        <w:lastRenderedPageBreak/>
        <w:t>PRIORITETI DJELOVANJA U PODRUČJU NADLEŽNOSTI SAMOUPRAVNE JEDINICE</w:t>
      </w:r>
      <w:bookmarkEnd w:id="7"/>
      <w:r w:rsidR="004A4A69" w:rsidRPr="00D01DB3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297BC4B9" w14:textId="77777777" w:rsidR="00CD769D" w:rsidRPr="00410280" w:rsidRDefault="00CD769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F1767" w14:textId="77777777" w:rsidR="00C960A9" w:rsidRPr="00410280" w:rsidRDefault="00C960A9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Strateški ciljevi </w:t>
      </w:r>
      <w:r w:rsidRPr="00410280">
        <w:rPr>
          <w:rFonts w:ascii="Times New Roman" w:hAnsi="Times New Roman" w:cs="Times New Roman"/>
          <w:b/>
          <w:bCs/>
          <w:sz w:val="24"/>
          <w:szCs w:val="24"/>
          <w:u w:val="single"/>
        </w:rPr>
        <w:t>Ravnomjeran regionalni razvoj</w:t>
      </w:r>
      <w:r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1156B9A4" w14:textId="2978F110" w:rsidR="004A4A69" w:rsidRPr="00410280" w:rsidRDefault="00C960A9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>SC 12. Razvoj potpomognutih područja i područja s razvojnim posebnostima</w:t>
      </w:r>
    </w:p>
    <w:p w14:paraId="2CB2D3DF" w14:textId="23CF4CFA" w:rsidR="003811CC" w:rsidRPr="00410280" w:rsidRDefault="00DA79A9" w:rsidP="008C24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</w:t>
      </w:r>
      <w:r w:rsidR="003811CC" w:rsidRPr="00410280">
        <w:rPr>
          <w:rFonts w:ascii="Times New Roman" w:hAnsi="Times New Roman" w:cs="Times New Roman"/>
          <w:sz w:val="24"/>
          <w:szCs w:val="24"/>
        </w:rPr>
        <w:t xml:space="preserve"> svrhu određivanja prioriteta djelovanja temeljenog </w:t>
      </w:r>
      <w:r w:rsidR="00E5116A" w:rsidRPr="00410280">
        <w:rPr>
          <w:rFonts w:ascii="Times New Roman" w:hAnsi="Times New Roman" w:cs="Times New Roman"/>
          <w:sz w:val="24"/>
          <w:szCs w:val="24"/>
        </w:rPr>
        <w:t xml:space="preserve">na potrebama koje ima općina Majur vodili smo se za </w:t>
      </w:r>
      <w:r w:rsidR="001345BD" w:rsidRPr="00410280">
        <w:rPr>
          <w:rFonts w:ascii="Times New Roman" w:hAnsi="Times New Roman" w:cs="Times New Roman"/>
          <w:sz w:val="24"/>
          <w:szCs w:val="24"/>
        </w:rPr>
        <w:t>ciljevima utemeljenim u politici regionalnoga razvoja čija je zadaća pridonijeti društveno-gospodarskom razvoju, u skladu s načelima održivog razvoja, stvaranjem uvjeta koji će svim dijelovima zemlje omogućavati jačanje konkurentnosti i realizaciju vlastitih razvojnih potencijala. Politika regionalnoga razvoja temelji se na partnerstvu i suradnji između javnog, privatnog i civilnog sektora, strateškom planiranju, udruživanju sredstava iz različitih izvora namijenjenih pripremi, izradi i provedbi planskih dokumenata i razvojnih projekata kojima se postiže trajan i mjerljiv učinak na regionalni razvoj, te se sustavno prati i vrednuje</w:t>
      </w:r>
      <w:r w:rsidR="000257B7" w:rsidRPr="00410280">
        <w:rPr>
          <w:rFonts w:ascii="Times New Roman" w:hAnsi="Times New Roman" w:cs="Times New Roman"/>
          <w:sz w:val="24"/>
          <w:szCs w:val="24"/>
        </w:rPr>
        <w:t xml:space="preserve"> ishod toga</w:t>
      </w:r>
      <w:r w:rsidR="001345BD" w:rsidRPr="00410280">
        <w:rPr>
          <w:rFonts w:ascii="Times New Roman" w:hAnsi="Times New Roman" w:cs="Times New Roman"/>
          <w:sz w:val="24"/>
          <w:szCs w:val="24"/>
        </w:rPr>
        <w:t>. Provodi se u skladu s autonomijom jedinica lokalne i područne (regionalne) samouprave te pridonosi skladnom i uravnoteženom razvoju zemlje koji osigurava zaštitu i očuvanje prirodnog okoliša i raznolikosti kulturnog bogatstva.</w:t>
      </w:r>
    </w:p>
    <w:p w14:paraId="4988C58A" w14:textId="0CD4D766" w:rsidR="00DB6CD6" w:rsidRDefault="00DB6CD6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82A09" w14:textId="6A015356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708F2" w14:textId="17D93BD9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9C043" w14:textId="58848BAA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ED511" w14:textId="47531726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F9AD" w14:textId="61981F84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EDEF" w14:textId="0E90844E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06872" w14:textId="2038CE28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9169" w14:textId="61ED17F7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D453B" w14:textId="7DB98C64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C127" w14:textId="05D656A1" w:rsidR="00D01DB3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61B69" w14:textId="77777777" w:rsidR="00D01DB3" w:rsidRPr="00410280" w:rsidRDefault="00D01DB3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89D8" w14:textId="1B938F47" w:rsidR="009240CB" w:rsidRPr="00D01DB3" w:rsidRDefault="009240CB" w:rsidP="008C2485">
      <w:pPr>
        <w:pStyle w:val="Naslov2"/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8" w:name="_Hlk91625855"/>
      <w:bookmarkStart w:id="9" w:name="_Toc91834188"/>
      <w:r w:rsidRPr="00D01DB3">
        <w:rPr>
          <w:rFonts w:ascii="Times New Roman" w:hAnsi="Times New Roman" w:cs="Times New Roman"/>
          <w:b/>
          <w:color w:val="auto"/>
          <w:sz w:val="24"/>
        </w:rPr>
        <w:lastRenderedPageBreak/>
        <w:t>LOKACIJSKA</w:t>
      </w:r>
      <w:r w:rsidR="002D2041" w:rsidRPr="00D01DB3">
        <w:rPr>
          <w:rFonts w:ascii="Times New Roman" w:hAnsi="Times New Roman" w:cs="Times New Roman"/>
          <w:b/>
          <w:color w:val="auto"/>
          <w:sz w:val="24"/>
        </w:rPr>
        <w:t xml:space="preserve"> I POSTOJEĆA INFRASTRUKTURA PODRUČJA PROVEDBE</w:t>
      </w:r>
      <w:bookmarkEnd w:id="9"/>
      <w:r w:rsidRPr="00D01DB3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bookmarkEnd w:id="8"/>
    <w:p w14:paraId="738F18AB" w14:textId="53B24C7C" w:rsidR="00190399" w:rsidRPr="00410280" w:rsidRDefault="00190399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481F9" w14:textId="7D109DCB" w:rsidR="00E448F6" w:rsidRPr="00012065" w:rsidRDefault="00190399" w:rsidP="00012065">
      <w:pPr>
        <w:pStyle w:val="Odlomakpopisa"/>
        <w:numPr>
          <w:ilvl w:val="1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>Lokacija provedbe</w:t>
      </w:r>
    </w:p>
    <w:p w14:paraId="15209860" w14:textId="17E1038E" w:rsidR="009C56A9" w:rsidRPr="009C56A9" w:rsidRDefault="009C56A9" w:rsidP="009C56A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Općina Majur smještena je na jug</w:t>
      </w:r>
      <w:r w:rsidR="00B9552C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Sisačko-moslavačke županije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na području Banovine</w:t>
      </w:r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Graniči s općinama Sunja, Donji </w:t>
      </w:r>
      <w:proofErr w:type="spellStart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>Kukuruzari</w:t>
      </w:r>
      <w:proofErr w:type="spellEnd"/>
      <w:r w:rsidRPr="009C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gradom Hrvatska Kostajnica. Općina obuhvaća područje 11 naselja u kojima na 67,96 km2 živi 1.185 stanovnika prema popisu iz 2011. godine.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Uz mjesto Majur kao središ</w:t>
      </w:r>
      <w:r>
        <w:rPr>
          <w:rFonts w:ascii="Times New Roman" w:hAnsi="Times New Roman" w:cs="Times New Roman"/>
          <w:sz w:val="24"/>
          <w:szCs w:val="24"/>
        </w:rPr>
        <w:t>te o</w:t>
      </w:r>
      <w:r w:rsidRPr="00410280">
        <w:rPr>
          <w:rFonts w:ascii="Times New Roman" w:hAnsi="Times New Roman" w:cs="Times New Roman"/>
          <w:sz w:val="24"/>
          <w:szCs w:val="24"/>
        </w:rPr>
        <w:t xml:space="preserve">pćine nalaze se i naselja Gornja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Meminsk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Gornji Hrastovac,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Graboštani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Kostrići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Malo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Krčevo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Mračaj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Srednja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Meminska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Stubalj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Svinica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 i Veliko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Krčevo</w:t>
      </w:r>
      <w:proofErr w:type="spellEnd"/>
      <w:r w:rsidR="00B9552C">
        <w:rPr>
          <w:rFonts w:ascii="Times New Roman" w:hAnsi="Times New Roman" w:cs="Times New Roman"/>
          <w:sz w:val="24"/>
          <w:szCs w:val="24"/>
        </w:rPr>
        <w:t>.</w:t>
      </w:r>
    </w:p>
    <w:p w14:paraId="796010E5" w14:textId="51A55C3E" w:rsidR="00D01DB3" w:rsidRPr="00410280" w:rsidRDefault="00D01DB3" w:rsidP="00B95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DB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371B9F" wp14:editId="686DA6D0">
            <wp:extent cx="4285615" cy="2973705"/>
            <wp:effectExtent l="0" t="0" r="635" b="0"/>
            <wp:docPr id="6" name="Slika 6" descr="C:\Users\Općina Majur\Desktop\Majur\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ćina Majur\Desktop\Majur\Bez naslov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04A5" w14:textId="47A7C9D6" w:rsidR="00815B7E" w:rsidRPr="00410280" w:rsidRDefault="00E448F6" w:rsidP="00B9552C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</w:t>
      </w:r>
      <w:r w:rsidRPr="00012065">
        <w:rPr>
          <w:rFonts w:ascii="Times New Roman" w:hAnsi="Times New Roman" w:cs="Times New Roman"/>
          <w:sz w:val="20"/>
          <w:szCs w:val="24"/>
        </w:rPr>
        <w:t>Slika 1. Područje općine Majur</w:t>
      </w:r>
    </w:p>
    <w:p w14:paraId="48067633" w14:textId="77777777" w:rsidR="00D01DB3" w:rsidRDefault="00D01DB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DBC1" w14:textId="723862D5" w:rsidR="00FE6DC7" w:rsidRPr="00012065" w:rsidRDefault="00DA79A9" w:rsidP="00012065">
      <w:pPr>
        <w:pStyle w:val="Odlomakpopisa"/>
        <w:numPr>
          <w:ilvl w:val="1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179" w:rsidRPr="00012065">
        <w:rPr>
          <w:rFonts w:ascii="Times New Roman" w:hAnsi="Times New Roman" w:cs="Times New Roman"/>
          <w:b/>
          <w:sz w:val="24"/>
          <w:szCs w:val="24"/>
        </w:rPr>
        <w:t>Osnovna infrastrukturna i društvena obilježja općine Majur</w:t>
      </w:r>
    </w:p>
    <w:p w14:paraId="37FD4117" w14:textId="77777777" w:rsidR="009D0E95" w:rsidRPr="00410280" w:rsidRDefault="009D0E95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5250" w14:textId="188F5D49" w:rsidR="00DA79A9" w:rsidRPr="00410280" w:rsidRDefault="00FE6DC7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Prometnu infrastrukturu Općine Majur čine </w:t>
      </w:r>
      <w:r w:rsidR="00E32010" w:rsidRPr="00410280">
        <w:rPr>
          <w:rFonts w:ascii="Times New Roman" w:hAnsi="Times New Roman" w:cs="Times New Roman"/>
          <w:sz w:val="24"/>
          <w:szCs w:val="24"/>
        </w:rPr>
        <w:t>državna, županijska, lokalne ceste i nerazvrstane ceste. Dužina prometne infrastrukture iznosi oko 36 kilometara.</w:t>
      </w:r>
    </w:p>
    <w:p w14:paraId="46D81392" w14:textId="0E1170C2" w:rsidR="00E32010" w:rsidRPr="00410280" w:rsidRDefault="00E32010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Voda kao javno dobro Općine u sklopu je vodoopskrbnog sustava Hrvatske Kostajnice i njome upravlja trgovačko društvo Grada Hrvatske Kostajnice JP „Komunalac“ d.o.o.</w:t>
      </w:r>
      <w:r w:rsidR="00F800E0" w:rsidRPr="00410280">
        <w:rPr>
          <w:rFonts w:ascii="Times New Roman" w:hAnsi="Times New Roman" w:cs="Times New Roman"/>
          <w:sz w:val="24"/>
          <w:szCs w:val="24"/>
        </w:rPr>
        <w:t>. Na vodoopskrbni sustav priključeno je oko 315 kućanstava općine Majur.</w:t>
      </w:r>
    </w:p>
    <w:p w14:paraId="0A59E2EE" w14:textId="250A8B26" w:rsidR="00F800E0" w:rsidRPr="00410280" w:rsidRDefault="00F800E0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Kanalizacijski sustav u planu je projekata budućeg razvoja </w:t>
      </w:r>
      <w:r w:rsidR="00FA2761" w:rsidRPr="00410280">
        <w:rPr>
          <w:rFonts w:ascii="Times New Roman" w:hAnsi="Times New Roman" w:cs="Times New Roman"/>
          <w:sz w:val="24"/>
          <w:szCs w:val="24"/>
        </w:rPr>
        <w:t>općine</w:t>
      </w:r>
    </w:p>
    <w:p w14:paraId="45585BCC" w14:textId="279F31B5" w:rsidR="00951778" w:rsidRPr="00410280" w:rsidRDefault="00F800E0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Sakupljanje i zbrinjavanje komunalnog otpada sa područja općine provodi komunalno poduzeće „Komunalac“ d.o.o. iz Petrinje</w:t>
      </w:r>
    </w:p>
    <w:p w14:paraId="51013349" w14:textId="5E9C1DC8" w:rsidR="002B3C56" w:rsidRPr="00410280" w:rsidRDefault="00951778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>Stanovništvo općine Majur čini 1.185 stanovnika prema popisu iz 2011. godine i naseljeni su u  11 statističkih naselja</w:t>
      </w:r>
    </w:p>
    <w:p w14:paraId="32611220" w14:textId="5FA1B843" w:rsidR="002B3C56" w:rsidRPr="00410280" w:rsidRDefault="002B3C56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Najveći broj stanovnika ima srednjoškolsku razinu obrazovanja 42%, višu ili visoku razinu obrazovanja ima 5% stanovnika</w:t>
      </w:r>
      <w:r w:rsidR="00654F72" w:rsidRPr="00410280">
        <w:rPr>
          <w:rFonts w:ascii="Times New Roman" w:hAnsi="Times New Roman" w:cs="Times New Roman"/>
          <w:sz w:val="24"/>
          <w:szCs w:val="24"/>
        </w:rPr>
        <w:t xml:space="preserve">, s </w:t>
      </w:r>
      <w:r w:rsidRPr="00410280">
        <w:rPr>
          <w:rFonts w:ascii="Times New Roman" w:hAnsi="Times New Roman" w:cs="Times New Roman"/>
          <w:sz w:val="24"/>
          <w:szCs w:val="24"/>
        </w:rPr>
        <w:t>nezavršenom osnovnom školom</w:t>
      </w:r>
      <w:r w:rsidR="00654F72" w:rsidRPr="00410280">
        <w:rPr>
          <w:rFonts w:ascii="Times New Roman" w:hAnsi="Times New Roman" w:cs="Times New Roman"/>
          <w:sz w:val="24"/>
          <w:szCs w:val="24"/>
        </w:rPr>
        <w:t xml:space="preserve"> je</w:t>
      </w:r>
      <w:r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="00654F72" w:rsidRPr="00410280">
        <w:rPr>
          <w:rFonts w:ascii="Times New Roman" w:hAnsi="Times New Roman" w:cs="Times New Roman"/>
          <w:sz w:val="24"/>
          <w:szCs w:val="24"/>
        </w:rPr>
        <w:t>25% stanovnika, a</w:t>
      </w:r>
      <w:r w:rsidRPr="00410280">
        <w:rPr>
          <w:rFonts w:ascii="Times New Roman" w:hAnsi="Times New Roman" w:cs="Times New Roman"/>
          <w:sz w:val="24"/>
          <w:szCs w:val="24"/>
        </w:rPr>
        <w:t xml:space="preserve"> 28% stanovništva završilo </w:t>
      </w:r>
      <w:r w:rsidR="00654F72" w:rsidRPr="00410280">
        <w:rPr>
          <w:rFonts w:ascii="Times New Roman" w:hAnsi="Times New Roman" w:cs="Times New Roman"/>
          <w:sz w:val="24"/>
          <w:szCs w:val="24"/>
        </w:rPr>
        <w:t xml:space="preserve">je </w:t>
      </w:r>
      <w:r w:rsidRPr="00410280">
        <w:rPr>
          <w:rFonts w:ascii="Times New Roman" w:hAnsi="Times New Roman" w:cs="Times New Roman"/>
          <w:sz w:val="24"/>
          <w:szCs w:val="24"/>
        </w:rPr>
        <w:t>osnovnu školu</w:t>
      </w:r>
    </w:p>
    <w:p w14:paraId="539EFD1B" w14:textId="5A26B955" w:rsidR="00654F72" w:rsidRPr="00410280" w:rsidRDefault="00654F72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Oko 130 ljudi je zaposleno, a 120 nezaposleno s područja Općine</w:t>
      </w:r>
    </w:p>
    <w:p w14:paraId="1CDB6E12" w14:textId="1AA0C74D" w:rsidR="00FA2761" w:rsidRPr="00410280" w:rsidRDefault="00FA2761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Ostali udio u stanovništvu čini starije/umirovljeno stanovništvo i mladi</w:t>
      </w:r>
    </w:p>
    <w:p w14:paraId="3B81D3D4" w14:textId="304C9F61" w:rsidR="008C2B0F" w:rsidRPr="00410280" w:rsidRDefault="008C2B0F" w:rsidP="00012065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8B17D8" wp14:editId="6F75F83F">
            <wp:extent cx="6099175" cy="914340"/>
            <wp:effectExtent l="38100" t="38100" r="34925" b="387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7287" cy="947038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9AD76DC" w14:textId="09B6E06E" w:rsidR="00654F72" w:rsidRPr="00012065" w:rsidRDefault="008C2B0F" w:rsidP="00012065">
      <w:pPr>
        <w:spacing w:line="360" w:lineRule="auto"/>
        <w:ind w:left="-142"/>
        <w:rPr>
          <w:rFonts w:ascii="Times New Roman" w:hAnsi="Times New Roman" w:cs="Times New Roman"/>
          <w:sz w:val="20"/>
          <w:szCs w:val="24"/>
        </w:rPr>
      </w:pPr>
      <w:r w:rsidRPr="00012065">
        <w:rPr>
          <w:rFonts w:ascii="Times New Roman" w:hAnsi="Times New Roman" w:cs="Times New Roman"/>
          <w:sz w:val="20"/>
          <w:szCs w:val="24"/>
        </w:rPr>
        <w:t>Tablica 2. Broj stanovnika Općine Majur</w:t>
      </w:r>
    </w:p>
    <w:p w14:paraId="2BE254FA" w14:textId="408A7A3B" w:rsidR="00654F72" w:rsidRPr="00410280" w:rsidRDefault="00654F72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Gospodarstvo </w:t>
      </w:r>
      <w:r w:rsidR="00A4040F" w:rsidRPr="00410280">
        <w:rPr>
          <w:rFonts w:ascii="Times New Roman" w:hAnsi="Times New Roman" w:cs="Times New Roman"/>
          <w:sz w:val="24"/>
          <w:szCs w:val="24"/>
        </w:rPr>
        <w:t>općine</w:t>
      </w:r>
      <w:r w:rsidRPr="00410280">
        <w:rPr>
          <w:rFonts w:ascii="Times New Roman" w:hAnsi="Times New Roman" w:cs="Times New Roman"/>
          <w:sz w:val="24"/>
          <w:szCs w:val="24"/>
        </w:rPr>
        <w:t xml:space="preserve"> Majur </w:t>
      </w:r>
      <w:r w:rsidR="005C332C" w:rsidRPr="00410280">
        <w:rPr>
          <w:rFonts w:ascii="Times New Roman" w:hAnsi="Times New Roman" w:cs="Times New Roman"/>
          <w:sz w:val="24"/>
          <w:szCs w:val="24"/>
        </w:rPr>
        <w:t>čine poljoprivredna i industrijsko</w:t>
      </w:r>
      <w:r w:rsidR="00FA2761" w:rsidRPr="00410280">
        <w:rPr>
          <w:rFonts w:ascii="Times New Roman" w:hAnsi="Times New Roman" w:cs="Times New Roman"/>
          <w:sz w:val="24"/>
          <w:szCs w:val="24"/>
        </w:rPr>
        <w:t>-</w:t>
      </w:r>
      <w:r w:rsidR="005C332C" w:rsidRPr="00410280">
        <w:rPr>
          <w:rFonts w:ascii="Times New Roman" w:hAnsi="Times New Roman" w:cs="Times New Roman"/>
          <w:sz w:val="24"/>
          <w:szCs w:val="24"/>
        </w:rPr>
        <w:t>prerađivačka proizvodnja</w:t>
      </w:r>
    </w:p>
    <w:p w14:paraId="126F7674" w14:textId="408E04B6" w:rsidR="005C332C" w:rsidRPr="00410280" w:rsidRDefault="00FA2761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Sektori</w:t>
      </w:r>
      <w:r w:rsidR="005C332C" w:rsidRPr="00410280">
        <w:rPr>
          <w:rFonts w:ascii="Times New Roman" w:hAnsi="Times New Roman" w:cs="Times New Roman"/>
          <w:sz w:val="24"/>
          <w:szCs w:val="24"/>
        </w:rPr>
        <w:t xml:space="preserve"> koji </w:t>
      </w:r>
      <w:r w:rsidRPr="00410280">
        <w:rPr>
          <w:rFonts w:ascii="Times New Roman" w:hAnsi="Times New Roman" w:cs="Times New Roman"/>
          <w:sz w:val="24"/>
          <w:szCs w:val="24"/>
        </w:rPr>
        <w:t>su</w:t>
      </w:r>
      <w:r w:rsidR="005C332C" w:rsidRPr="00410280">
        <w:rPr>
          <w:rFonts w:ascii="Times New Roman" w:hAnsi="Times New Roman" w:cs="Times New Roman"/>
          <w:sz w:val="24"/>
          <w:szCs w:val="24"/>
        </w:rPr>
        <w:t xml:space="preserve"> isto tako </w:t>
      </w:r>
      <w:r w:rsidRPr="00410280">
        <w:rPr>
          <w:rFonts w:ascii="Times New Roman" w:hAnsi="Times New Roman" w:cs="Times New Roman"/>
          <w:sz w:val="24"/>
          <w:szCs w:val="24"/>
        </w:rPr>
        <w:t>zastupljeni</w:t>
      </w:r>
      <w:r w:rsidR="005C332C" w:rsidRPr="00410280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A4040F" w:rsidRPr="00410280">
        <w:rPr>
          <w:rFonts w:ascii="Times New Roman" w:hAnsi="Times New Roman" w:cs="Times New Roman"/>
          <w:sz w:val="24"/>
          <w:szCs w:val="24"/>
        </w:rPr>
        <w:t>općine</w:t>
      </w:r>
      <w:r w:rsidR="005C332C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su</w:t>
      </w:r>
      <w:r w:rsidR="005C332C" w:rsidRPr="00410280">
        <w:rPr>
          <w:rFonts w:ascii="Times New Roman" w:hAnsi="Times New Roman" w:cs="Times New Roman"/>
          <w:sz w:val="24"/>
          <w:szCs w:val="24"/>
        </w:rPr>
        <w:t xml:space="preserve"> šumarstvo i </w:t>
      </w:r>
      <w:r w:rsidR="00A4040F" w:rsidRPr="00410280">
        <w:rPr>
          <w:rFonts w:ascii="Times New Roman" w:hAnsi="Times New Roman" w:cs="Times New Roman"/>
          <w:sz w:val="24"/>
          <w:szCs w:val="24"/>
        </w:rPr>
        <w:t>trgovina na veliko i malo</w:t>
      </w:r>
    </w:p>
    <w:p w14:paraId="728F4DC4" w14:textId="237F98B0" w:rsidR="00234DBC" w:rsidRPr="00410280" w:rsidRDefault="00A4040F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Najmanji je udio obrta</w:t>
      </w:r>
    </w:p>
    <w:p w14:paraId="59498725" w14:textId="5CA9D5FD" w:rsidR="00E32010" w:rsidRPr="00410280" w:rsidRDefault="00A4040F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Obrazovni i odgojni sustav Općine Majur, odnosno ustanova navedenih djelatnosti u potresu iz prosinca 2020. godine u potpunosti je uništena</w:t>
      </w:r>
    </w:p>
    <w:p w14:paraId="4DB8426B" w14:textId="73BDF699" w:rsidR="00A4040F" w:rsidRPr="00410280" w:rsidRDefault="00A4040F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Većina djece vrtićke dobi koristi usluge Dječjeg vrtića „Krijesnica“ u</w:t>
      </w:r>
      <w:r w:rsidR="00234DBC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Hrvatskoj Kostajnici uz sufinanciranje usluge od strane Općine Majur</w:t>
      </w:r>
    </w:p>
    <w:p w14:paraId="6B3E913B" w14:textId="79F23C10" w:rsidR="00A4040F" w:rsidRPr="00410280" w:rsidRDefault="00A4040F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Djeca svih osnovnoškolskih razreda pohađaju Osnovnu školu „Davorina Trstenjaka“ u Hrvatskoj Kostajnici.</w:t>
      </w:r>
    </w:p>
    <w:p w14:paraId="78CA8280" w14:textId="5B383968" w:rsidR="009D0E95" w:rsidRPr="00410280" w:rsidRDefault="00A710B4" w:rsidP="00913A64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Civilno društvo općine Majur čine organizacije u sportu i kulturi: Dobrovoljno vatrogasno društvo „Majur“, Kulturna umjetničko društvo „Sloga“ Majur, Lokalna akcijska grupa Una, Sportsko ribolovna udruga „Klen“ Majur, Športski nogometni klub „Radnik“ Majur, Udruga „Hrvatska žena“ Majur, Udruga „Hrvatska žena“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Graboštani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, Udruga hrvatskih branitelja Domovinskog rata '92-'92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Graboštani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>, Udruga mladih „Mravi“ Majur</w:t>
      </w:r>
      <w:r w:rsidR="00234DBC" w:rsidRPr="00410280">
        <w:rPr>
          <w:rFonts w:ascii="Times New Roman" w:hAnsi="Times New Roman" w:cs="Times New Roman"/>
          <w:sz w:val="24"/>
          <w:szCs w:val="24"/>
        </w:rPr>
        <w:t>,</w:t>
      </w:r>
      <w:r w:rsidRPr="00410280">
        <w:rPr>
          <w:rFonts w:ascii="Times New Roman" w:hAnsi="Times New Roman" w:cs="Times New Roman"/>
          <w:sz w:val="24"/>
          <w:szCs w:val="24"/>
        </w:rPr>
        <w:t xml:space="preserve"> Udruga žena „Kruna“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Stubalj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 te Pogrebno društvo Sv. Ivan u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Stublju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>.</w:t>
      </w:r>
    </w:p>
    <w:p w14:paraId="7516AA25" w14:textId="69123EB4" w:rsidR="00DB6CD6" w:rsidRPr="00B70FB5" w:rsidRDefault="00A710B4" w:rsidP="00123F44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B5">
        <w:rPr>
          <w:rFonts w:ascii="Times New Roman" w:hAnsi="Times New Roman" w:cs="Times New Roman"/>
          <w:sz w:val="24"/>
          <w:szCs w:val="24"/>
        </w:rPr>
        <w:t>Osnovna ustanova za vršenje kulturnih i obrazovnih djelatnosti na području Općine Majur je Narodna knjižnica i čitaonica Majur kao</w:t>
      </w:r>
      <w:r w:rsidR="00FA2761" w:rsidRPr="00B70FB5">
        <w:rPr>
          <w:rFonts w:ascii="Times New Roman" w:hAnsi="Times New Roman" w:cs="Times New Roman"/>
          <w:sz w:val="24"/>
          <w:szCs w:val="24"/>
        </w:rPr>
        <w:t xml:space="preserve"> jedini</w:t>
      </w:r>
      <w:r w:rsidRPr="00B70FB5">
        <w:rPr>
          <w:rFonts w:ascii="Times New Roman" w:hAnsi="Times New Roman" w:cs="Times New Roman"/>
          <w:sz w:val="24"/>
          <w:szCs w:val="24"/>
        </w:rPr>
        <w:t xml:space="preserve"> proračunski korisnik Općine.</w:t>
      </w:r>
    </w:p>
    <w:p w14:paraId="3D29CCEA" w14:textId="07A71277" w:rsidR="002D2041" w:rsidRPr="00410280" w:rsidRDefault="002D204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E54B" w14:textId="3CA996FB" w:rsidR="007C578A" w:rsidRPr="00161DC9" w:rsidRDefault="004A4A69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</w:rPr>
      </w:pPr>
      <w:bookmarkStart w:id="10" w:name="_Toc91834189"/>
      <w:r w:rsidRPr="00161DC9">
        <w:rPr>
          <w:rFonts w:ascii="Times New Roman" w:hAnsi="Times New Roman" w:cs="Times New Roman"/>
          <w:b/>
          <w:color w:val="auto"/>
          <w:sz w:val="24"/>
        </w:rPr>
        <w:lastRenderedPageBreak/>
        <w:t>DJELOKRUG RADA I ORGANIZACIJSKA STRUKTURA</w:t>
      </w:r>
      <w:bookmarkEnd w:id="10"/>
    </w:p>
    <w:p w14:paraId="6D919A1F" w14:textId="6301FE1D" w:rsidR="0063006D" w:rsidRDefault="008C01E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94EC" wp14:editId="68B8BDA4">
                <wp:simplePos x="0" y="0"/>
                <wp:positionH relativeFrom="column">
                  <wp:posOffset>1262960</wp:posOffset>
                </wp:positionH>
                <wp:positionV relativeFrom="paragraph">
                  <wp:posOffset>238870</wp:posOffset>
                </wp:positionV>
                <wp:extent cx="3220278" cy="1558456"/>
                <wp:effectExtent l="19050" t="19050" r="18415" b="2286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1558456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EB713" id="Pravokutnik 9" o:spid="_x0000_s1026" style="position:absolute;margin-left:99.45pt;margin-top:18.8pt;width:253.55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" filled="f" strokecolor="#375623 [1609]" strokeweight="3.25pt"/>
            </w:pict>
          </mc:Fallback>
        </mc:AlternateContent>
      </w:r>
    </w:p>
    <w:p w14:paraId="79A7A30A" w14:textId="5FE2FC1A" w:rsidR="008C01E5" w:rsidRDefault="008C01E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3882C6" wp14:editId="2DF84358">
                <wp:simplePos x="0" y="0"/>
                <wp:positionH relativeFrom="column">
                  <wp:posOffset>1736421</wp:posOffset>
                </wp:positionH>
                <wp:positionV relativeFrom="paragraph">
                  <wp:posOffset>31805</wp:posOffset>
                </wp:positionV>
                <wp:extent cx="2360930" cy="1404620"/>
                <wp:effectExtent l="0" t="0" r="19685" b="2032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FAEE" w14:textId="5818EA6D" w:rsidR="008C01E5" w:rsidRPr="00D829AB" w:rsidRDefault="008C01E5" w:rsidP="008C01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29A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OPĆINSKA NAČELNICA</w:t>
                            </w:r>
                          </w:p>
                          <w:p w14:paraId="4EE638EE" w14:textId="4662E769" w:rsidR="008C01E5" w:rsidRPr="00D829AB" w:rsidRDefault="00874378" w:rsidP="008C01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29AB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8C01E5" w:rsidRPr="00D829AB">
                              <w:rPr>
                                <w:color w:val="FFFFFF" w:themeColor="background1"/>
                              </w:rPr>
                              <w:t>Zamjenik iz reda pripadnika srpske nacionalne manjine</w:t>
                            </w:r>
                            <w:r w:rsidRPr="00D829AB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882C6" id="Tekstni okvir 2" o:spid="_x0000_s1027" type="#_x0000_t202" style="position:absolute;left:0;text-align:left;margin-left:136.75pt;margin-top:2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" fillcolor="#538135 [2409]">
                <v:textbox style="mso-fit-shape-to-text:t">
                  <w:txbxContent>
                    <w:p w14:paraId="794BFAEE" w14:textId="5818EA6D" w:rsidR="008C01E5" w:rsidRPr="00D829AB" w:rsidRDefault="008C01E5" w:rsidP="008C01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29AB">
                        <w:rPr>
                          <w:b/>
                          <w:color w:val="FFFFFF" w:themeColor="background1"/>
                          <w:sz w:val="24"/>
                        </w:rPr>
                        <w:t>OPĆINSKA NAČELNICA</w:t>
                      </w:r>
                    </w:p>
                    <w:p w14:paraId="4EE638EE" w14:textId="4662E769" w:rsidR="008C01E5" w:rsidRPr="00D829AB" w:rsidRDefault="00874378" w:rsidP="008C01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829AB">
                        <w:rPr>
                          <w:color w:val="FFFFFF" w:themeColor="background1"/>
                        </w:rPr>
                        <w:t>(</w:t>
                      </w:r>
                      <w:r w:rsidR="008C01E5" w:rsidRPr="00D829AB">
                        <w:rPr>
                          <w:color w:val="FFFFFF" w:themeColor="background1"/>
                        </w:rPr>
                        <w:t>Zamjenik iz reda pripadnika srpske nacionalne manjine</w:t>
                      </w:r>
                      <w:r w:rsidRPr="00D829AB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04F4E" w14:textId="3CC08AF5" w:rsidR="008C01E5" w:rsidRDefault="008C01E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85179" w14:textId="419FAF52" w:rsidR="008C01E5" w:rsidRDefault="008C01E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F3929" wp14:editId="7D72248B">
                <wp:simplePos x="0" y="0"/>
                <wp:positionH relativeFrom="column">
                  <wp:posOffset>1741336</wp:posOffset>
                </wp:positionH>
                <wp:positionV relativeFrom="paragraph">
                  <wp:posOffset>29183</wp:posOffset>
                </wp:positionV>
                <wp:extent cx="2360930" cy="1404620"/>
                <wp:effectExtent l="0" t="0" r="19685" b="19050"/>
                <wp:wrapSquare wrapText="bothSides"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D664" w14:textId="64969742" w:rsidR="008C01E5" w:rsidRPr="00D829AB" w:rsidRDefault="008C01E5" w:rsidP="008C01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29A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JEDINSTVENI UPRAVNI ODJEL</w:t>
                            </w:r>
                          </w:p>
                          <w:p w14:paraId="04AF76E0" w14:textId="4A1DDA33" w:rsidR="008C01E5" w:rsidRPr="00D829AB" w:rsidRDefault="008C01E5" w:rsidP="008C01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829AB">
                              <w:rPr>
                                <w:color w:val="FFFFFF" w:themeColor="background1"/>
                              </w:rPr>
                              <w:t>Pročelnik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F3929" id="_x0000_s1028" type="#_x0000_t202" style="position:absolute;left:0;text-align:left;margin-left:137.1pt;margin-top:2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" fillcolor="#92d050">
                <v:textbox style="mso-fit-shape-to-text:t">
                  <w:txbxContent>
                    <w:p w14:paraId="136AD664" w14:textId="64969742" w:rsidR="008C01E5" w:rsidRPr="00D829AB" w:rsidRDefault="008C01E5" w:rsidP="008C01E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29AB">
                        <w:rPr>
                          <w:b/>
                          <w:color w:val="FFFFFF" w:themeColor="background1"/>
                          <w:sz w:val="24"/>
                        </w:rPr>
                        <w:t>JEDINSTVENI UPRAVNI ODJEL</w:t>
                      </w:r>
                    </w:p>
                    <w:p w14:paraId="04AF76E0" w14:textId="4A1DDA33" w:rsidR="008C01E5" w:rsidRPr="00D829AB" w:rsidRDefault="008C01E5" w:rsidP="008C01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829AB">
                        <w:rPr>
                          <w:color w:val="FFFFFF" w:themeColor="background1"/>
                        </w:rPr>
                        <w:t>Pročelnik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A553C" w14:textId="2BCAB2FE" w:rsidR="008C01E5" w:rsidRPr="00D829AB" w:rsidRDefault="008C01E5" w:rsidP="00913A6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85500B" w14:textId="77777777" w:rsidR="00874378" w:rsidRPr="00D829AB" w:rsidRDefault="00874378" w:rsidP="008743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8F8E27" w14:textId="595BB17C" w:rsidR="00F125DC" w:rsidRPr="00410280" w:rsidRDefault="00DA79A9" w:rsidP="0087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206C" w:rsidRPr="00410280">
        <w:rPr>
          <w:rFonts w:ascii="Times New Roman" w:hAnsi="Times New Roman" w:cs="Times New Roman"/>
          <w:sz w:val="24"/>
          <w:szCs w:val="24"/>
        </w:rPr>
        <w:t xml:space="preserve">        </w:t>
      </w:r>
      <w:r w:rsidR="009D0E95" w:rsidRPr="00410280">
        <w:rPr>
          <w:rFonts w:ascii="Times New Roman" w:hAnsi="Times New Roman" w:cs="Times New Roman"/>
          <w:sz w:val="24"/>
          <w:szCs w:val="24"/>
        </w:rPr>
        <w:t xml:space="preserve">   </w:t>
      </w:r>
      <w:r w:rsidRPr="00874378">
        <w:rPr>
          <w:rFonts w:ascii="Times New Roman" w:hAnsi="Times New Roman" w:cs="Times New Roman"/>
          <w:sz w:val="20"/>
          <w:szCs w:val="24"/>
        </w:rPr>
        <w:t xml:space="preserve">Slika 2. </w:t>
      </w:r>
      <w:r w:rsidR="002A206C" w:rsidRPr="00874378">
        <w:rPr>
          <w:rFonts w:ascii="Times New Roman" w:hAnsi="Times New Roman" w:cs="Times New Roman"/>
          <w:sz w:val="20"/>
          <w:szCs w:val="24"/>
        </w:rPr>
        <w:t>Organizacijska struktura Općine Majur</w:t>
      </w:r>
    </w:p>
    <w:p w14:paraId="31CA4660" w14:textId="77777777" w:rsidR="002A206C" w:rsidRPr="00410280" w:rsidRDefault="002A206C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CBACA" w14:textId="36B3F90C" w:rsidR="00D9046F" w:rsidRPr="00410280" w:rsidRDefault="00D9046F" w:rsidP="00913A64">
      <w:pPr>
        <w:pStyle w:val="Odlomakpopisa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Poslovi općinske načelnice</w:t>
      </w:r>
      <w:r w:rsidR="00271EE7" w:rsidRPr="00410280">
        <w:rPr>
          <w:rFonts w:ascii="Times New Roman" w:hAnsi="Times New Roman" w:cs="Times New Roman"/>
          <w:sz w:val="24"/>
          <w:szCs w:val="24"/>
        </w:rPr>
        <w:t xml:space="preserve"> općinske načelnice</w:t>
      </w:r>
      <w:r w:rsidRPr="00410280">
        <w:rPr>
          <w:rFonts w:ascii="Times New Roman" w:hAnsi="Times New Roman" w:cs="Times New Roman"/>
          <w:sz w:val="24"/>
          <w:szCs w:val="24"/>
        </w:rPr>
        <w:t>:</w:t>
      </w:r>
    </w:p>
    <w:p w14:paraId="67F9EFD8" w14:textId="1346B9CA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priprema prijedloge općih akata,</w:t>
      </w:r>
    </w:p>
    <w:p w14:paraId="56DA7EF0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izvršava ili osigurava izvršavanje općih akata Općinskog vijeća,</w:t>
      </w:r>
    </w:p>
    <w:p w14:paraId="65ABC5D9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Općinskom vijeću podnosi izvješće o svome radu,</w:t>
      </w:r>
    </w:p>
    <w:p w14:paraId="162C0270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 brigu o upravljanju općinskom imovinom i naredbodavac je izvršenja Proračuna Općine Majur,</w:t>
      </w:r>
    </w:p>
    <w:p w14:paraId="04F78BEC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usmjerava djelovanje jedinstvenog upravnog odjela u obavljanju poslova te nadzire njegov rad,</w:t>
      </w:r>
    </w:p>
    <w:p w14:paraId="2E52AFA8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upravlja nekretninama i pokretninama u vlasništvu Općine Majur te njezinim prihodima i rashodima, sukladno zakonu i ovom Statutu,</w:t>
      </w:r>
    </w:p>
    <w:p w14:paraId="59883E95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odlučuje o stjecanju i otuđivanju nekretnina i pokretnina Općine Majur i raspolaganju ostalom imovinom u skladu sa Zakonom, Statutom i posebnim propisima,</w:t>
      </w:r>
    </w:p>
    <w:p w14:paraId="3422610C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bira i razrješuje predstavnike Općine Majur u tijelima javnih ustanova, trgovačkih društva i drugih osoba iz članka 14. stavka 1. alineje 5. ovog Statuta,</w:t>
      </w:r>
    </w:p>
    <w:p w14:paraId="5229DAB0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odgovoran je središnjem tijelu državne uprave za obavljanje poslova državne uprave, možebitno prenesenih u djelokrug tijela Općine Majur,</w:t>
      </w:r>
    </w:p>
    <w:p w14:paraId="4CB23D72" w14:textId="77777777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bira i imenuje članove stalnih i povremenih radnih tijela iz svog djelokruga,</w:t>
      </w:r>
    </w:p>
    <w:p w14:paraId="215FDBCC" w14:textId="7B92BC4B" w:rsidR="00D9046F" w:rsidRPr="00410280" w:rsidRDefault="00D9046F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te obavlja i druge poslove sukladno zakonu, ovom Statutu i odlukama Općinskog vijeća.</w:t>
      </w:r>
    </w:p>
    <w:p w14:paraId="474E87E1" w14:textId="77777777" w:rsidR="009D0E95" w:rsidRPr="00410280" w:rsidRDefault="009D0E95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597D5" w14:textId="3D780FE7" w:rsidR="00F125DC" w:rsidRPr="00410280" w:rsidRDefault="00F125DC" w:rsidP="00913A64">
      <w:pPr>
        <w:pStyle w:val="Odlomakpopisa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Poslovi </w:t>
      </w:r>
      <w:r w:rsidR="0063006D" w:rsidRPr="00410280">
        <w:rPr>
          <w:rFonts w:ascii="Times New Roman" w:hAnsi="Times New Roman" w:cs="Times New Roman"/>
          <w:sz w:val="24"/>
          <w:szCs w:val="24"/>
        </w:rPr>
        <w:t>jedinstvenog</w:t>
      </w:r>
      <w:r w:rsidRPr="00410280">
        <w:rPr>
          <w:rFonts w:ascii="Times New Roman" w:hAnsi="Times New Roman" w:cs="Times New Roman"/>
          <w:sz w:val="24"/>
          <w:szCs w:val="24"/>
        </w:rPr>
        <w:t xml:space="preserve"> upravnog odjela</w:t>
      </w:r>
      <w:r w:rsidR="0063006D" w:rsidRPr="00410280">
        <w:rPr>
          <w:rFonts w:ascii="Times New Roman" w:hAnsi="Times New Roman" w:cs="Times New Roman"/>
          <w:sz w:val="24"/>
          <w:szCs w:val="24"/>
        </w:rPr>
        <w:t>-pročelnik i referent za administrativne poslove</w:t>
      </w:r>
      <w:r w:rsidRPr="00410280">
        <w:rPr>
          <w:rFonts w:ascii="Times New Roman" w:hAnsi="Times New Roman" w:cs="Times New Roman"/>
          <w:sz w:val="24"/>
          <w:szCs w:val="24"/>
        </w:rPr>
        <w:t>:</w:t>
      </w:r>
    </w:p>
    <w:p w14:paraId="4206E1FE" w14:textId="77777777" w:rsidR="002A206C" w:rsidRPr="00410280" w:rsidRDefault="002A206C" w:rsidP="00913A64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E353F1" w14:textId="05855903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upravlja radom Jedinstvenog upravnog odjela te sukladno zakonu, drugim propisima, Statutom i drugim općim aktima Općine Majur brine za pravodobno i zakonito </w:t>
      </w:r>
      <w:r w:rsidRPr="00410280">
        <w:rPr>
          <w:rFonts w:ascii="Times New Roman" w:hAnsi="Times New Roman" w:cs="Times New Roman"/>
          <w:sz w:val="24"/>
          <w:szCs w:val="24"/>
        </w:rPr>
        <w:lastRenderedPageBreak/>
        <w:t>obavljanje poslova iz djelokruga Jedinstvenog upravnog odjela. Prati zakone i druge propise i organizira njihovu primjenu u okviru samoupravnog djelokruga Općine Majur,</w:t>
      </w:r>
    </w:p>
    <w:p w14:paraId="38184F18" w14:textId="196B0166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organizira, koordinira i usmjerava rad službenika i namještenika Jedinstvenog upravnog odjela, upravlja radom Vlastitog pogona kao organizacijske jedinice u Jedinstvenom upravnom odjelu koji je osnovan za obavljanje komunalnih djelatnosti na području Općine Majur i koordinira rad namještenika Vlastitog pogona, brine za zakonitost rada te materijalno i financijsko poslovanje Vlastitog pogona te brine o resursima za učinkovito i pravovremeno obavljanje komunalnih djelatnosti,</w:t>
      </w:r>
    </w:p>
    <w:p w14:paraId="179F2004" w14:textId="08B0CC11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iznosi stručna mišljenja i daje prijedloge na planove i programe iz područja društvenih djelatnosti i za rješavanje imovinsko pravnih odnosa na imovini od posebnog interesa za Općinu Majur,</w:t>
      </w:r>
    </w:p>
    <w:p w14:paraId="4E9BFA31" w14:textId="5BEC9A3C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rješenjem odlučuje o prijmu u službu i prestanku službe, rasporedu na radno mjesto te o drugim pravima i obvezama službenika i namještenika Jedinstvenog upravnog odjela. Donosi rješenja o plaći i naknadama za općinskog načelnika i njegove zamjenike te deklaratorne odluke o početku i prestanku obnašanja dužnosti općinskog načelnika i njegovih zamjenika,</w:t>
      </w:r>
    </w:p>
    <w:p w14:paraId="376E23F9" w14:textId="17DFA60B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surađuje s radnim tijelima Općinskog vijeća i Općinskog načelnika Općine Majur te s ovlaštenim predlagateljima izrađuje nacrte općih akata Općine Majur, </w:t>
      </w:r>
    </w:p>
    <w:p w14:paraId="50DA013E" w14:textId="2F13CB2C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priprema i organizira rad Općinskog vijeća,</w:t>
      </w:r>
    </w:p>
    <w:p w14:paraId="1BD61361" w14:textId="61330DE1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 brigu o pravodobnom usklađenju općih akata s novim odnosno s izmjenama i dopunama važećih propisa te sudjeluje u pripremi i izradi akata koje donose tijela Općine Majur te o otpremanju općih akata na nadzor,</w:t>
      </w:r>
    </w:p>
    <w:p w14:paraId="566E8063" w14:textId="6CE18AB6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izrađuje  službene novine Općine Majur u kojima se akti objavljuju,</w:t>
      </w:r>
    </w:p>
    <w:p w14:paraId="68404023" w14:textId="63020528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 samostalno postupak za donošenje rješenja iz djelokruga Jedinstvenog upravnog odjela Općine Majur,</w:t>
      </w:r>
    </w:p>
    <w:p w14:paraId="03E96752" w14:textId="195DEB43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poslove javne nabave, poslove jednostavne nabave, sastavlja plan nabave, objavljuje potrebne objave u Elektroničkom oglasniku javne nabave te obavlja i druge poslove u skladu sa Zakonom o javnoj nabavi.</w:t>
      </w:r>
    </w:p>
    <w:p w14:paraId="2C2D57C8" w14:textId="295FC9C5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poslove službenika za informiranje,</w:t>
      </w:r>
    </w:p>
    <w:p w14:paraId="628D66D3" w14:textId="11985654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poslove osobe zadužene za nepravilnosti, zaprima i obrađuje prijave nepravilnosti, dostavlja ih nadležnim tijelima te izrađuje i šalje polugodišnje i godišnje izvješće o nepravilnostima,</w:t>
      </w:r>
    </w:p>
    <w:p w14:paraId="65AE9E51" w14:textId="45FB2F92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surađuje s odgovarajućim tijelima državne uprave te drugim jedinica lokalne i područne (regionalne) samouprave,</w:t>
      </w:r>
    </w:p>
    <w:p w14:paraId="76FC7851" w14:textId="0452FE23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>izvršava akte Općinskog vijeća i Općinskog načelnika iz djelokruga Jedinstvenog upravnog odjela,</w:t>
      </w:r>
    </w:p>
    <w:p w14:paraId="7CA95672" w14:textId="6B98AB09" w:rsidR="00F125DC" w:rsidRPr="00410280" w:rsidRDefault="00F125DC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i druge poslove iz djelokruga Jedinstvenog upravnog odjela po nalogu Općinskog načelnika</w:t>
      </w:r>
      <w:r w:rsidR="0063006D" w:rsidRPr="00410280">
        <w:rPr>
          <w:rFonts w:ascii="Times New Roman" w:hAnsi="Times New Roman" w:cs="Times New Roman"/>
          <w:sz w:val="24"/>
          <w:szCs w:val="24"/>
        </w:rPr>
        <w:t>,</w:t>
      </w:r>
    </w:p>
    <w:p w14:paraId="24208C2E" w14:textId="46BFC542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administrativno-tehničke poslove za općinsko vijeće, općinskog načelnika i njegove zamjenike,</w:t>
      </w:r>
    </w:p>
    <w:p w14:paraId="0FAE7A42" w14:textId="6A9A0D3C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 upisnik predmeta upravnog postupka i urudžbeni zapisnik te formira spise predmeta i iste dostavlja u rad,</w:t>
      </w:r>
    </w:p>
    <w:p w14:paraId="3394FCA3" w14:textId="572B621D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arhivira predmete i vodi brigu o arhivskoj građi sukladno posebnoj odluci.</w:t>
      </w:r>
    </w:p>
    <w:p w14:paraId="75ACB7B4" w14:textId="1355DA61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Zaprima, pregledava, razvrstava i otprema poštu,</w:t>
      </w:r>
    </w:p>
    <w:p w14:paraId="7E1060F5" w14:textId="671D6B6B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 brigu o općinskim pečatima i njihovoj primjeni.</w:t>
      </w:r>
    </w:p>
    <w:p w14:paraId="55649ED9" w14:textId="1A4436CD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nabavu uredskog materijala,</w:t>
      </w:r>
    </w:p>
    <w:p w14:paraId="102ED0D0" w14:textId="3F717129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obavlja, prijepise, fotokopiranje, sortiranje i odlaganje dokumentacije.</w:t>
      </w:r>
    </w:p>
    <w:p w14:paraId="6F0D7734" w14:textId="17DA66E5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poslove zapisničara na sjednicama tijela Općine Majur te drugih tijela po ukazanoj potrebi.</w:t>
      </w:r>
    </w:p>
    <w:p w14:paraId="72A2F635" w14:textId="6940F8CB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 uredske poslove za općinskog načelnika (prijem stranaka, poruka, obavijesti, očitovanja i sl.) te uspostavlja telefonske veze putem kućne centrale i daje građanima osnovne informacije,</w:t>
      </w:r>
    </w:p>
    <w:p w14:paraId="70CC33E1" w14:textId="148C6564" w:rsidR="0063006D" w:rsidRPr="00410280" w:rsidRDefault="0063006D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pregledava elektroničku poštu i Web stranicu Općine Majur te po nalogu općinskog načelnika na istu odgovara</w:t>
      </w:r>
      <w:r w:rsidR="00E86A02" w:rsidRPr="00410280">
        <w:rPr>
          <w:rFonts w:ascii="Times New Roman" w:hAnsi="Times New Roman" w:cs="Times New Roman"/>
          <w:sz w:val="24"/>
          <w:szCs w:val="24"/>
        </w:rPr>
        <w:t>,</w:t>
      </w:r>
    </w:p>
    <w:p w14:paraId="64EF3CD7" w14:textId="50539C98" w:rsidR="0063006D" w:rsidRPr="00410280" w:rsidRDefault="00E86A02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izvršava</w:t>
      </w:r>
      <w:r w:rsidR="0063006D" w:rsidRPr="00410280">
        <w:rPr>
          <w:rFonts w:ascii="Times New Roman" w:hAnsi="Times New Roman" w:cs="Times New Roman"/>
          <w:sz w:val="24"/>
          <w:szCs w:val="24"/>
        </w:rPr>
        <w:t xml:space="preserve"> akte općinskog vijeća i općinskog načelnika iz djelokruga svog radnog mjesta</w:t>
      </w:r>
      <w:r w:rsidRPr="00410280">
        <w:rPr>
          <w:rFonts w:ascii="Times New Roman" w:hAnsi="Times New Roman" w:cs="Times New Roman"/>
          <w:sz w:val="24"/>
          <w:szCs w:val="24"/>
        </w:rPr>
        <w:t>,</w:t>
      </w:r>
    </w:p>
    <w:p w14:paraId="48FDF8EB" w14:textId="43886252" w:rsidR="0063006D" w:rsidRPr="00410280" w:rsidRDefault="00E86A02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vodi</w:t>
      </w:r>
      <w:r w:rsidR="0063006D" w:rsidRPr="00410280">
        <w:rPr>
          <w:rFonts w:ascii="Times New Roman" w:hAnsi="Times New Roman" w:cs="Times New Roman"/>
          <w:sz w:val="24"/>
          <w:szCs w:val="24"/>
        </w:rPr>
        <w:t xml:space="preserve"> evidenciju o službenicima i evidenciju o radnom vremenu</w:t>
      </w:r>
      <w:r w:rsidRPr="00410280">
        <w:rPr>
          <w:rFonts w:ascii="Times New Roman" w:hAnsi="Times New Roman" w:cs="Times New Roman"/>
          <w:sz w:val="24"/>
          <w:szCs w:val="24"/>
        </w:rPr>
        <w:t>,</w:t>
      </w:r>
    </w:p>
    <w:p w14:paraId="52433007" w14:textId="07CEFD10" w:rsidR="0063006D" w:rsidRPr="00410280" w:rsidRDefault="00E86A02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uređuje</w:t>
      </w:r>
      <w:r w:rsidR="0063006D" w:rsidRPr="00410280">
        <w:rPr>
          <w:rFonts w:ascii="Times New Roman" w:hAnsi="Times New Roman" w:cs="Times New Roman"/>
          <w:sz w:val="24"/>
          <w:szCs w:val="24"/>
        </w:rPr>
        <w:t xml:space="preserve"> i vodi evidenciju iz djelokruga svog radnog mjesta</w:t>
      </w:r>
      <w:r w:rsidRPr="00410280">
        <w:rPr>
          <w:rFonts w:ascii="Times New Roman" w:hAnsi="Times New Roman" w:cs="Times New Roman"/>
          <w:sz w:val="24"/>
          <w:szCs w:val="24"/>
        </w:rPr>
        <w:t>,</w:t>
      </w:r>
    </w:p>
    <w:p w14:paraId="6AF0B808" w14:textId="2ABF8C3F" w:rsidR="00D9046F" w:rsidRPr="00410280" w:rsidRDefault="00E86A02" w:rsidP="00913A6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obavlja</w:t>
      </w:r>
      <w:r w:rsidR="0063006D" w:rsidRPr="00410280">
        <w:rPr>
          <w:rFonts w:ascii="Times New Roman" w:hAnsi="Times New Roman" w:cs="Times New Roman"/>
          <w:sz w:val="24"/>
          <w:szCs w:val="24"/>
        </w:rPr>
        <w:t xml:space="preserve"> i druge poslove iz djelokruga Jedinstvenog upravnog odjela po nalogu pročelnika Jedinstvenog upravnog odjela.</w:t>
      </w:r>
    </w:p>
    <w:p w14:paraId="117407A2" w14:textId="2B5594EA" w:rsidR="009D0E95" w:rsidRPr="00410280" w:rsidRDefault="009D0E95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E9E4B" w14:textId="1687C88D" w:rsidR="009D0E95" w:rsidRDefault="009D0E95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58DEE" w14:textId="27820CCB" w:rsidR="00DF2393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19393" w14:textId="12FEC9B4" w:rsidR="00DF2393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CC51F" w14:textId="4D3EEE4D" w:rsidR="00DF2393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E069" w14:textId="0264E8A6" w:rsidR="00DF2393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DC8E5" w14:textId="40D67581" w:rsidR="00DF2393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BD7C" w14:textId="77777777" w:rsidR="00DF2393" w:rsidRPr="00410280" w:rsidRDefault="00DF2393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9951C" w14:textId="5893246C" w:rsidR="00CD769D" w:rsidRPr="007C3B01" w:rsidRDefault="004A4A69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</w:rPr>
      </w:pPr>
      <w:bookmarkStart w:id="11" w:name="_Toc91834190"/>
      <w:r w:rsidRPr="007C3B01">
        <w:rPr>
          <w:rFonts w:ascii="Times New Roman" w:hAnsi="Times New Roman" w:cs="Times New Roman"/>
          <w:b/>
          <w:color w:val="auto"/>
          <w:sz w:val="24"/>
        </w:rPr>
        <w:lastRenderedPageBreak/>
        <w:t>VIZIJA</w:t>
      </w:r>
      <w:bookmarkEnd w:id="11"/>
    </w:p>
    <w:p w14:paraId="72964AAE" w14:textId="77777777" w:rsidR="002A206C" w:rsidRPr="00410280" w:rsidRDefault="002A206C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4D4E1" w14:textId="18AC358F" w:rsidR="00EA7EE5" w:rsidRDefault="00EA7EE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Održivo gospodarstvo, poljoprivreda i turizam</w:t>
      </w:r>
      <w:r w:rsidR="00AF5576" w:rsidRPr="00410280">
        <w:rPr>
          <w:rFonts w:ascii="Times New Roman" w:hAnsi="Times New Roman" w:cs="Times New Roman"/>
          <w:sz w:val="24"/>
          <w:szCs w:val="24"/>
        </w:rPr>
        <w:t xml:space="preserve"> temeljen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F5576" w:rsidRPr="0041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bogatoj prirodnoj i kulturnoj baštini koji stanovnicima Općine Majur jamče visoku kvalitetu života.</w:t>
      </w:r>
    </w:p>
    <w:p w14:paraId="44C73A1F" w14:textId="77777777" w:rsidR="009D0E95" w:rsidRPr="00410280" w:rsidRDefault="009D0E95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AA98" w14:textId="52E9C266" w:rsidR="00CD769D" w:rsidRDefault="004A4A69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</w:rPr>
      </w:pPr>
      <w:bookmarkStart w:id="12" w:name="_Toc91834191"/>
      <w:r w:rsidRPr="007C3B01">
        <w:rPr>
          <w:rFonts w:ascii="Times New Roman" w:hAnsi="Times New Roman" w:cs="Times New Roman"/>
          <w:b/>
          <w:color w:val="auto"/>
          <w:sz w:val="24"/>
        </w:rPr>
        <w:t>MISIJA</w:t>
      </w:r>
      <w:bookmarkEnd w:id="12"/>
    </w:p>
    <w:p w14:paraId="6CD3A296" w14:textId="77777777" w:rsidR="007C3B01" w:rsidRPr="007C3B01" w:rsidRDefault="007C3B01" w:rsidP="007C3B01"/>
    <w:p w14:paraId="4DC8F8E8" w14:textId="14E4BFB9" w:rsidR="004708D2" w:rsidRDefault="004708D2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Predan</w:t>
      </w:r>
      <w:r w:rsidR="00EA7EE5">
        <w:rPr>
          <w:rFonts w:ascii="Times New Roman" w:hAnsi="Times New Roman" w:cs="Times New Roman"/>
          <w:sz w:val="24"/>
          <w:szCs w:val="24"/>
        </w:rPr>
        <w:t>im</w:t>
      </w:r>
      <w:r w:rsidRPr="00410280">
        <w:rPr>
          <w:rFonts w:ascii="Times New Roman" w:hAnsi="Times New Roman" w:cs="Times New Roman"/>
          <w:sz w:val="24"/>
          <w:szCs w:val="24"/>
        </w:rPr>
        <w:t xml:space="preserve"> rad </w:t>
      </w:r>
      <w:r w:rsidR="00EA7EE5">
        <w:rPr>
          <w:rFonts w:ascii="Times New Roman" w:hAnsi="Times New Roman" w:cs="Times New Roman"/>
          <w:sz w:val="24"/>
          <w:szCs w:val="24"/>
        </w:rPr>
        <w:t xml:space="preserve">omogućiti stanovnicima Općine Majur kvalitetan život.  </w:t>
      </w:r>
    </w:p>
    <w:p w14:paraId="78F484D1" w14:textId="77777777" w:rsidR="00B9529F" w:rsidRDefault="00B9529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C353C" w14:textId="2A638E05" w:rsidR="00B9529F" w:rsidRDefault="00B9529F" w:rsidP="00B952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4C0FA9" wp14:editId="151CD7FD">
            <wp:extent cx="5001371" cy="3751028"/>
            <wp:effectExtent l="0" t="0" r="8890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norama Maju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91" cy="375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AA510" w14:textId="16F48B56" w:rsidR="00B9529F" w:rsidRDefault="00B9529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22DC6" w14:textId="2442900F" w:rsidR="00B9529F" w:rsidRDefault="00B9529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44BA" w14:textId="2F0F744B" w:rsidR="00B9529F" w:rsidRDefault="00B9529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34CA" w14:textId="2EA494DA" w:rsidR="00C5791B" w:rsidRDefault="00C5791B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F2B49" w14:textId="1059BCB0" w:rsidR="00C5791B" w:rsidRDefault="00C5791B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542C" w14:textId="2BCFB615" w:rsidR="00C5791B" w:rsidRDefault="00C5791B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FF0B3" w14:textId="5691BE00" w:rsidR="00CD769D" w:rsidRPr="00C5791B" w:rsidRDefault="004A4A69" w:rsidP="00C5791B">
      <w:pPr>
        <w:pStyle w:val="Naslov2"/>
        <w:numPr>
          <w:ilvl w:val="0"/>
          <w:numId w:val="20"/>
        </w:numPr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3" w:name="_Toc91834192"/>
      <w:r w:rsidRPr="00C5791B">
        <w:rPr>
          <w:rFonts w:ascii="Times New Roman" w:hAnsi="Times New Roman" w:cs="Times New Roman"/>
          <w:b/>
          <w:color w:val="auto"/>
          <w:sz w:val="24"/>
        </w:rPr>
        <w:lastRenderedPageBreak/>
        <w:t>PRORAČUN KAO TEMELJNI FINANCIJSKI DOKUMET PROVEDBENOG PROGRAMA</w:t>
      </w:r>
      <w:bookmarkEnd w:id="13"/>
    </w:p>
    <w:p w14:paraId="7DEDC891" w14:textId="77777777" w:rsidR="000119AA" w:rsidRPr="00410280" w:rsidRDefault="000119AA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FD76" w14:textId="329D25A3" w:rsidR="003D301D" w:rsidRPr="00410280" w:rsidRDefault="003D301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Proračun kao dokument temeljni je financijski </w:t>
      </w:r>
      <w:r w:rsidR="00E56548" w:rsidRPr="00410280">
        <w:rPr>
          <w:rFonts w:ascii="Times New Roman" w:hAnsi="Times New Roman" w:cs="Times New Roman"/>
          <w:sz w:val="24"/>
          <w:szCs w:val="24"/>
        </w:rPr>
        <w:t>,</w:t>
      </w:r>
      <w:r w:rsidRPr="00410280">
        <w:rPr>
          <w:rFonts w:ascii="Times New Roman" w:hAnsi="Times New Roman" w:cs="Times New Roman"/>
          <w:sz w:val="24"/>
          <w:szCs w:val="24"/>
        </w:rPr>
        <w:t>pravni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 i konsolidirani</w:t>
      </w:r>
      <w:r w:rsidRPr="00410280">
        <w:rPr>
          <w:rFonts w:ascii="Times New Roman" w:hAnsi="Times New Roman" w:cs="Times New Roman"/>
          <w:sz w:val="24"/>
          <w:szCs w:val="24"/>
        </w:rPr>
        <w:t xml:space="preserve"> akt u kojem su utvrđeni svi prihodi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 i primici</w:t>
      </w:r>
      <w:r w:rsidRPr="00410280">
        <w:rPr>
          <w:rFonts w:ascii="Times New Roman" w:hAnsi="Times New Roman" w:cs="Times New Roman"/>
          <w:sz w:val="24"/>
          <w:szCs w:val="24"/>
        </w:rPr>
        <w:t xml:space="preserve"> i rashodi 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i izdaci </w:t>
      </w:r>
      <w:r w:rsidRPr="00410280">
        <w:rPr>
          <w:rFonts w:ascii="Times New Roman" w:hAnsi="Times New Roman" w:cs="Times New Roman"/>
          <w:sz w:val="24"/>
          <w:szCs w:val="24"/>
        </w:rPr>
        <w:t>Općine za određenu proračunsku godinu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 kao i proračunskog korisnika</w:t>
      </w:r>
      <w:r w:rsidR="00FA2761" w:rsidRPr="00410280">
        <w:rPr>
          <w:rFonts w:ascii="Times New Roman" w:hAnsi="Times New Roman" w:cs="Times New Roman"/>
          <w:sz w:val="24"/>
          <w:szCs w:val="24"/>
        </w:rPr>
        <w:t xml:space="preserve"> Općine</w:t>
      </w:r>
      <w:r w:rsidR="00E56548" w:rsidRPr="00410280">
        <w:rPr>
          <w:rFonts w:ascii="Times New Roman" w:hAnsi="Times New Roman" w:cs="Times New Roman"/>
          <w:sz w:val="24"/>
          <w:szCs w:val="24"/>
        </w:rPr>
        <w:t>, a</w:t>
      </w:r>
      <w:r w:rsidRPr="00410280">
        <w:rPr>
          <w:rFonts w:ascii="Times New Roman" w:hAnsi="Times New Roman" w:cs="Times New Roman"/>
          <w:sz w:val="24"/>
          <w:szCs w:val="24"/>
        </w:rPr>
        <w:t xml:space="preserve"> koja se u Republici Hrvatskoj definira u razdoblju od </w:t>
      </w:r>
      <w:proofErr w:type="spellStart"/>
      <w:r w:rsidRPr="0041028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10280">
        <w:rPr>
          <w:rFonts w:ascii="Times New Roman" w:hAnsi="Times New Roman" w:cs="Times New Roman"/>
          <w:sz w:val="24"/>
          <w:szCs w:val="24"/>
        </w:rPr>
        <w:t xml:space="preserve"> 1.1. do 31.12. Proračun predlaže čelnik, kao izvršno tijelo, a donosi ga Općinsko vijeće, kao predstavničko tijelo i to većinom glasova svih članova Vijeća. Proračun se donosi krajem tekuće godine za narednu proračunsku godinu.</w:t>
      </w:r>
    </w:p>
    <w:p w14:paraId="15DD79C6" w14:textId="77777777" w:rsidR="003D301D" w:rsidRPr="00410280" w:rsidRDefault="003D301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Struktura Proračuna</w:t>
      </w:r>
    </w:p>
    <w:p w14:paraId="6C95590C" w14:textId="77777777" w:rsidR="003D301D" w:rsidRPr="00410280" w:rsidRDefault="003D301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Opći dio</w:t>
      </w:r>
    </w:p>
    <w:p w14:paraId="38862370" w14:textId="01635C61" w:rsidR="003D301D" w:rsidRPr="00410280" w:rsidRDefault="003D301D" w:rsidP="00913A64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Račun prihoda i rashoda – sadrži 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konsolidirani </w:t>
      </w:r>
      <w:r w:rsidRPr="00410280">
        <w:rPr>
          <w:rFonts w:ascii="Times New Roman" w:hAnsi="Times New Roman" w:cs="Times New Roman"/>
          <w:sz w:val="24"/>
          <w:szCs w:val="24"/>
        </w:rPr>
        <w:t>plan svih prihoda i primitaka te rashoda i izdataka Općine Majur za proračunsku godinu iskazanih po ekonomskoj klasifikaciji i izvorima financiranja.</w:t>
      </w:r>
    </w:p>
    <w:p w14:paraId="0D0A3FC1" w14:textId="391B1057" w:rsidR="003D301D" w:rsidRPr="00410280" w:rsidRDefault="003D301D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Račun financiranja – sadrži sve </w:t>
      </w:r>
      <w:r w:rsidR="00E56548" w:rsidRPr="00410280">
        <w:rPr>
          <w:rFonts w:ascii="Times New Roman" w:hAnsi="Times New Roman" w:cs="Times New Roman"/>
          <w:sz w:val="24"/>
          <w:szCs w:val="24"/>
        </w:rPr>
        <w:t xml:space="preserve">konsolidirane </w:t>
      </w:r>
      <w:r w:rsidRPr="00410280">
        <w:rPr>
          <w:rFonts w:ascii="Times New Roman" w:hAnsi="Times New Roman" w:cs="Times New Roman"/>
          <w:sz w:val="24"/>
          <w:szCs w:val="24"/>
        </w:rPr>
        <w:t>primitke od financijske imovine i zaduživanja te sve izdatke za financijsku imovinu i otplatu zajmova za proračunsku godinu.</w:t>
      </w:r>
    </w:p>
    <w:p w14:paraId="5E4EA488" w14:textId="77777777" w:rsidR="00E56548" w:rsidRPr="00410280" w:rsidRDefault="00E56548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00F0" w14:textId="77777777" w:rsidR="00E56548" w:rsidRPr="00410280" w:rsidRDefault="003D301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Posebni dio </w:t>
      </w:r>
    </w:p>
    <w:p w14:paraId="55B9B348" w14:textId="3F530026" w:rsidR="006C3494" w:rsidRPr="00410280" w:rsidRDefault="00E56548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Plan</w:t>
      </w:r>
      <w:r w:rsidR="003D301D" w:rsidRPr="00410280">
        <w:rPr>
          <w:rFonts w:ascii="Times New Roman" w:hAnsi="Times New Roman" w:cs="Times New Roman"/>
          <w:sz w:val="24"/>
          <w:szCs w:val="24"/>
        </w:rPr>
        <w:t xml:space="preserve"> rashoda i izdataka Općine i jednog proračunskog korisnika Općine Majur- Narodne knjižnice i čitaonice Majur, raspoređen po programima odnosno aktivnostima, tekućim i kapitalnim projektima. Rashodi i izdaci su iskazani prema ekonomskoj, funkcijskoj klasifikaciji i izvorima financiranja sukladno Pravilniku o proračunskim klasifikacijama.</w:t>
      </w:r>
    </w:p>
    <w:p w14:paraId="4FA93A44" w14:textId="2A2D126E" w:rsidR="002A206C" w:rsidRPr="00410280" w:rsidRDefault="003B3899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Financijski </w:t>
      </w:r>
      <w:r w:rsidR="003F4406" w:rsidRPr="00410280">
        <w:rPr>
          <w:rFonts w:ascii="Times New Roman" w:hAnsi="Times New Roman" w:cs="Times New Roman"/>
          <w:sz w:val="24"/>
          <w:szCs w:val="24"/>
        </w:rPr>
        <w:t>pokazatelj proračuna-visina plana</w:t>
      </w:r>
      <w:r w:rsidR="00CD769D" w:rsidRPr="00410280">
        <w:rPr>
          <w:rFonts w:ascii="Times New Roman" w:hAnsi="Times New Roman" w:cs="Times New Roman"/>
          <w:sz w:val="24"/>
          <w:szCs w:val="24"/>
        </w:rPr>
        <w:t xml:space="preserve"> proračuna</w:t>
      </w:r>
    </w:p>
    <w:p w14:paraId="015FD3E1" w14:textId="77777777" w:rsidR="002A206C" w:rsidRPr="00410280" w:rsidRDefault="003F4406" w:rsidP="00913A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08FCF2" wp14:editId="2FA91FAE">
            <wp:extent cx="2941320" cy="1225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20" cy="123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B9E9" w14:textId="395EB558" w:rsidR="006C3494" w:rsidRPr="009F605D" w:rsidRDefault="002A206C" w:rsidP="009F605D">
      <w:pPr>
        <w:spacing w:line="360" w:lineRule="auto"/>
        <w:ind w:left="2268"/>
        <w:rPr>
          <w:rFonts w:ascii="Times New Roman" w:hAnsi="Times New Roman" w:cs="Times New Roman"/>
          <w:sz w:val="20"/>
          <w:szCs w:val="24"/>
        </w:rPr>
      </w:pPr>
      <w:r w:rsidRPr="009F605D">
        <w:rPr>
          <w:rFonts w:ascii="Times New Roman" w:hAnsi="Times New Roman" w:cs="Times New Roman"/>
          <w:sz w:val="20"/>
          <w:szCs w:val="24"/>
        </w:rPr>
        <w:t>Slika 3. Iznos plana proračuna</w:t>
      </w:r>
    </w:p>
    <w:p w14:paraId="31CCD29B" w14:textId="4627FD31" w:rsidR="007D7CBA" w:rsidRPr="00410280" w:rsidRDefault="008538F8" w:rsidP="003C0635">
      <w:pPr>
        <w:pStyle w:val="Naslov2"/>
        <w:rPr>
          <w:rFonts w:ascii="Times New Roman" w:hAnsi="Times New Roman" w:cs="Times New Roman"/>
          <w:color w:val="auto"/>
        </w:rPr>
      </w:pPr>
      <w:bookmarkStart w:id="14" w:name="_Toc91834193"/>
      <w:r w:rsidRPr="00410280">
        <w:rPr>
          <w:rFonts w:ascii="Times New Roman" w:hAnsi="Times New Roman" w:cs="Times New Roman"/>
          <w:color w:val="auto"/>
        </w:rPr>
        <w:lastRenderedPageBreak/>
        <w:t>POKAZATELJI I PARTICIPATIVNO PLANIRANJE</w:t>
      </w:r>
      <w:r w:rsidR="00E4450E" w:rsidRPr="00410280">
        <w:rPr>
          <w:rFonts w:ascii="Times New Roman" w:hAnsi="Times New Roman" w:cs="Times New Roman"/>
          <w:color w:val="auto"/>
        </w:rPr>
        <w:t xml:space="preserve"> </w:t>
      </w:r>
      <w:r w:rsidRPr="00410280">
        <w:rPr>
          <w:rFonts w:ascii="Times New Roman" w:hAnsi="Times New Roman" w:cs="Times New Roman"/>
          <w:color w:val="auto"/>
        </w:rPr>
        <w:t>KAO TEMELJ IZRADE PROVEDBENOG PROGRAMA</w:t>
      </w:r>
      <w:bookmarkEnd w:id="14"/>
      <w:r w:rsidR="00E4450E" w:rsidRPr="00410280">
        <w:rPr>
          <w:rFonts w:ascii="Times New Roman" w:hAnsi="Times New Roman" w:cs="Times New Roman"/>
          <w:color w:val="auto"/>
        </w:rPr>
        <w:t xml:space="preserve"> </w:t>
      </w:r>
    </w:p>
    <w:p w14:paraId="64C98C85" w14:textId="24D9328A" w:rsidR="009D0E95" w:rsidRPr="00410280" w:rsidRDefault="009D0E95" w:rsidP="00913A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749CEB" w14:textId="78180B73" w:rsidR="009D0E95" w:rsidRPr="00410280" w:rsidRDefault="009D0E95" w:rsidP="00913A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Uzevši u obzir temeljnu Nacionalnu razvojnu strategiju Hrvatska 2030.</w:t>
      </w:r>
      <w:r w:rsidR="00E2140F" w:rsidRPr="00410280">
        <w:rPr>
          <w:rFonts w:ascii="Times New Roman" w:hAnsi="Times New Roman" w:cs="Times New Roman"/>
          <w:sz w:val="24"/>
          <w:szCs w:val="24"/>
        </w:rPr>
        <w:t xml:space="preserve">, </w:t>
      </w:r>
      <w:r w:rsidRPr="00410280">
        <w:rPr>
          <w:rFonts w:ascii="Times New Roman" w:hAnsi="Times New Roman" w:cs="Times New Roman"/>
          <w:sz w:val="24"/>
          <w:szCs w:val="24"/>
        </w:rPr>
        <w:t xml:space="preserve">posebice prioritet djelovanja u smjeru regionalnog i ravnomjernog razvoja, </w:t>
      </w:r>
      <w:r w:rsidR="00E2140F" w:rsidRPr="00410280">
        <w:rPr>
          <w:rFonts w:ascii="Times New Roman" w:hAnsi="Times New Roman" w:cs="Times New Roman"/>
          <w:sz w:val="24"/>
          <w:szCs w:val="24"/>
        </w:rPr>
        <w:t>vezaši se na Programe i prijedloge Programa definirane od strane Vlade Republike Hrvatske koji se odnose i čije će odrednice utjecati  na smjer razvoja naše Županije, a isto tako, imajući na umu potrebe obnove infrastrukture i stvaranja uvjeta za prosperitetniji život žitelja formirane su sljedeće mjere i aktivnosti provedbenog programa Općine Majur:</w:t>
      </w:r>
    </w:p>
    <w:p w14:paraId="764E9A83" w14:textId="73D0B376" w:rsidR="00E4450E" w:rsidRDefault="00E4450E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9E05" w14:textId="1566F8E3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6C860" w14:textId="02DB61F2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93969" w14:textId="5060D76F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5AA7F" w14:textId="17A6F150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454EA" w14:textId="409BBE4D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06145" w14:textId="7D050A3B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7B49" w14:textId="05CF113E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53869" w14:textId="624E06C4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66AA3" w14:textId="2A17A0DE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336FE" w14:textId="01994700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56DC4" w14:textId="2DBEC7A5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D87D" w14:textId="0241261D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C7A8" w14:textId="10197F0D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BC8F9" w14:textId="46489324" w:rsidR="00EF1F0F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1A8D6" w14:textId="77777777" w:rsidR="00EF1F0F" w:rsidRPr="00410280" w:rsidRDefault="00EF1F0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401E" w14:textId="77777777" w:rsidR="007D7CBA" w:rsidRPr="00410280" w:rsidRDefault="007D7CBA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C936C" w14:textId="197CE256" w:rsidR="004A4A69" w:rsidRPr="007A6053" w:rsidRDefault="004A4A69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</w:rPr>
      </w:pPr>
      <w:bookmarkStart w:id="15" w:name="_Toc91834194"/>
      <w:r w:rsidRPr="007A6053">
        <w:rPr>
          <w:rFonts w:ascii="Times New Roman" w:hAnsi="Times New Roman" w:cs="Times New Roman"/>
          <w:b/>
          <w:color w:val="auto"/>
        </w:rPr>
        <w:lastRenderedPageBreak/>
        <w:t>MJERE I AKTIVNOSTI PROVEDBENOG PROGRAMA</w:t>
      </w:r>
      <w:bookmarkEnd w:id="15"/>
    </w:p>
    <w:p w14:paraId="5E3D7432" w14:textId="77777777" w:rsidR="00657CEF" w:rsidRPr="00410280" w:rsidRDefault="00657CEF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DED67" w14:textId="2F8D63E1" w:rsidR="00992FFB" w:rsidRPr="00410280" w:rsidRDefault="004E2B40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MJERA 1. </w:t>
      </w:r>
    </w:p>
    <w:p w14:paraId="216A2E19" w14:textId="4A581090" w:rsidR="00B90741" w:rsidRPr="00410280" w:rsidRDefault="00B90741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Komunalne djelatnosti </w:t>
      </w:r>
      <w:r w:rsidR="00DA59DF"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10280">
        <w:rPr>
          <w:rFonts w:ascii="Times New Roman" w:hAnsi="Times New Roman" w:cs="Times New Roman"/>
          <w:b/>
          <w:bCs/>
          <w:sz w:val="24"/>
          <w:szCs w:val="24"/>
        </w:rPr>
        <w:t>razvoj infrastrukture</w:t>
      </w:r>
      <w:r w:rsidR="00DA59DF"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144E3F" w14:textId="3BCDB593" w:rsidR="00162D8A" w:rsidRPr="00410280" w:rsidRDefault="004A1E52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mjera uključuje ispunjenje  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potreba obavljanja određenih djelatnosti kojima je cilj očuvanje nesmetanog funkcioniranja </w:t>
      </w:r>
      <w:r w:rsidRPr="00410280">
        <w:rPr>
          <w:rFonts w:ascii="Times New Roman" w:hAnsi="Times New Roman" w:cs="Times New Roman"/>
          <w:sz w:val="24"/>
          <w:szCs w:val="24"/>
        </w:rPr>
        <w:t xml:space="preserve">zajednice </w:t>
      </w:r>
      <w:r w:rsidR="003F73AC" w:rsidRPr="00410280">
        <w:rPr>
          <w:rFonts w:ascii="Times New Roman" w:hAnsi="Times New Roman" w:cs="Times New Roman"/>
          <w:sz w:val="24"/>
          <w:szCs w:val="24"/>
        </w:rPr>
        <w:t>koje uključuju</w:t>
      </w:r>
      <w:r w:rsidR="000119AA" w:rsidRPr="00410280">
        <w:rPr>
          <w:rFonts w:ascii="Times New Roman" w:hAnsi="Times New Roman" w:cs="Times New Roman"/>
          <w:sz w:val="24"/>
          <w:szCs w:val="24"/>
        </w:rPr>
        <w:t xml:space="preserve">: </w:t>
      </w:r>
      <w:r w:rsidRPr="00410280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opskrbe pitkom vodom za stanovništvo, </w:t>
      </w:r>
      <w:r w:rsidRPr="00410280">
        <w:rPr>
          <w:rFonts w:ascii="Times New Roman" w:hAnsi="Times New Roman" w:cs="Times New Roman"/>
          <w:sz w:val="24"/>
          <w:szCs w:val="24"/>
        </w:rPr>
        <w:t>odvodnju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 otpadnih voda, </w:t>
      </w:r>
      <w:r w:rsidRPr="00410280">
        <w:rPr>
          <w:rFonts w:ascii="Times New Roman" w:hAnsi="Times New Roman" w:cs="Times New Roman"/>
          <w:sz w:val="24"/>
          <w:szCs w:val="24"/>
        </w:rPr>
        <w:t>odvoz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 komunalnog otpada,</w:t>
      </w:r>
      <w:r w:rsidRPr="00410280">
        <w:rPr>
          <w:rFonts w:ascii="Times New Roman" w:hAnsi="Times New Roman" w:cs="Times New Roman"/>
          <w:sz w:val="24"/>
          <w:szCs w:val="24"/>
        </w:rPr>
        <w:t xml:space="preserve"> održavanje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 javnih </w:t>
      </w:r>
      <w:r w:rsidRPr="00410280">
        <w:rPr>
          <w:rFonts w:ascii="Times New Roman" w:hAnsi="Times New Roman" w:cs="Times New Roman"/>
          <w:sz w:val="24"/>
          <w:szCs w:val="24"/>
        </w:rPr>
        <w:t xml:space="preserve">površina, 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trgova i cesta, kao i </w:t>
      </w:r>
      <w:r w:rsidRPr="00410280">
        <w:rPr>
          <w:rFonts w:ascii="Times New Roman" w:hAnsi="Times New Roman" w:cs="Times New Roman"/>
          <w:sz w:val="24"/>
          <w:szCs w:val="24"/>
        </w:rPr>
        <w:t>drugih</w:t>
      </w:r>
      <w:r w:rsidR="003F73AC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 xml:space="preserve">djelatnosti nužnih za </w:t>
      </w:r>
      <w:r w:rsidR="003F73AC" w:rsidRPr="00410280">
        <w:rPr>
          <w:rFonts w:ascii="Times New Roman" w:hAnsi="Times New Roman" w:cs="Times New Roman"/>
          <w:sz w:val="24"/>
          <w:szCs w:val="24"/>
        </w:rPr>
        <w:t>opstanak zajednice</w:t>
      </w:r>
      <w:r w:rsidR="002B1B4B" w:rsidRPr="00410280">
        <w:rPr>
          <w:rFonts w:ascii="Times New Roman" w:hAnsi="Times New Roman" w:cs="Times New Roman"/>
          <w:sz w:val="24"/>
          <w:szCs w:val="24"/>
        </w:rPr>
        <w:t>-</w:t>
      </w:r>
      <w:r w:rsidR="003115AC" w:rsidRPr="00410280">
        <w:rPr>
          <w:rFonts w:ascii="Times New Roman" w:hAnsi="Times New Roman" w:cs="Times New Roman"/>
          <w:sz w:val="24"/>
          <w:szCs w:val="24"/>
        </w:rPr>
        <w:t xml:space="preserve">mjera definira </w:t>
      </w:r>
      <w:r w:rsidR="000119AA" w:rsidRPr="00410280">
        <w:rPr>
          <w:rFonts w:ascii="Times New Roman" w:hAnsi="Times New Roman" w:cs="Times New Roman"/>
          <w:sz w:val="24"/>
          <w:szCs w:val="24"/>
        </w:rPr>
        <w:t xml:space="preserve">4 </w:t>
      </w:r>
      <w:r w:rsidR="003115AC" w:rsidRPr="00410280">
        <w:rPr>
          <w:rFonts w:ascii="Times New Roman" w:hAnsi="Times New Roman" w:cs="Times New Roman"/>
          <w:sz w:val="24"/>
          <w:szCs w:val="24"/>
        </w:rPr>
        <w:t xml:space="preserve">aktivnosti </w:t>
      </w:r>
    </w:p>
    <w:p w14:paraId="29BBFE65" w14:textId="77777777" w:rsidR="008538F8" w:rsidRPr="00410280" w:rsidRDefault="008538F8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1034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708"/>
        <w:gridCol w:w="1670"/>
        <w:gridCol w:w="1670"/>
        <w:gridCol w:w="1815"/>
        <w:gridCol w:w="2501"/>
        <w:gridCol w:w="223"/>
      </w:tblGrid>
      <w:tr w:rsidR="00EB4D0A" w:rsidRPr="00410280" w14:paraId="70A35EF8" w14:textId="77777777" w:rsidTr="00EB4D0A">
        <w:trPr>
          <w:gridAfter w:val="1"/>
          <w:wAfter w:w="223" w:type="dxa"/>
          <w:trHeight w:val="712"/>
        </w:trPr>
        <w:tc>
          <w:tcPr>
            <w:tcW w:w="10120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4732A857" w14:textId="0952CB03" w:rsidR="00EB4D0A" w:rsidRPr="00410280" w:rsidRDefault="001F5E28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</w:t>
            </w:r>
          </w:p>
          <w:p w14:paraId="7D70EF90" w14:textId="1AE91584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Komunalne djelatnosti i razvoj infrastrukture</w:t>
            </w:r>
          </w:p>
        </w:tc>
      </w:tr>
      <w:tr w:rsidR="00EB4D0A" w:rsidRPr="00410280" w14:paraId="2A56F3D3" w14:textId="77777777" w:rsidTr="00EB4D0A">
        <w:trPr>
          <w:trHeight w:val="270"/>
        </w:trPr>
        <w:tc>
          <w:tcPr>
            <w:tcW w:w="10120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67F5371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FED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D0A" w:rsidRPr="00410280" w14:paraId="44A61B8D" w14:textId="77777777" w:rsidTr="00EB4D0A">
        <w:trPr>
          <w:trHeight w:val="619"/>
        </w:trPr>
        <w:tc>
          <w:tcPr>
            <w:tcW w:w="2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4D4BF7D" w14:textId="7AEB2F02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0C31672" w14:textId="77777777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740ECCD" w14:textId="77777777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KRAJNJA VRIJEDNOST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0C96910" w14:textId="77777777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9D05692" w14:textId="77777777" w:rsidR="00EB4D0A" w:rsidRPr="00410280" w:rsidRDefault="00EB4D0A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NAZIV POKAZATELJA</w:t>
            </w:r>
          </w:p>
        </w:tc>
        <w:tc>
          <w:tcPr>
            <w:tcW w:w="223" w:type="dxa"/>
            <w:vAlign w:val="center"/>
            <w:hideMark/>
          </w:tcPr>
          <w:p w14:paraId="1895C4A8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0D19BB2E" w14:textId="77777777" w:rsidTr="008D133A">
        <w:trPr>
          <w:trHeight w:val="183"/>
        </w:trPr>
        <w:tc>
          <w:tcPr>
            <w:tcW w:w="2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C4BE" w14:textId="7E279970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8D133A" w:rsidRPr="00410280">
              <w:rPr>
                <w:rFonts w:ascii="Times New Roman" w:hAnsi="Times New Roman" w:cs="Times New Roman"/>
                <w:sz w:val="24"/>
                <w:szCs w:val="24"/>
              </w:rPr>
              <w:t>Ulaganje u nerazvrstane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3A" w:rsidRPr="00410280">
              <w:rPr>
                <w:rFonts w:ascii="Times New Roman" w:hAnsi="Times New Roman" w:cs="Times New Roman"/>
                <w:sz w:val="24"/>
                <w:szCs w:val="24"/>
              </w:rPr>
              <w:t>ceste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82AB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534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FA8F" w14:textId="48B2E839" w:rsidR="00EB4D0A" w:rsidRPr="00410280" w:rsidRDefault="00CC6CA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D3776" w14:textId="77777777" w:rsidR="00EB4D0A" w:rsidRPr="00410280" w:rsidRDefault="00EB4D0A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kilometri nerazvrstanih cesta</w:t>
            </w:r>
          </w:p>
        </w:tc>
        <w:tc>
          <w:tcPr>
            <w:tcW w:w="223" w:type="dxa"/>
            <w:vAlign w:val="center"/>
            <w:hideMark/>
          </w:tcPr>
          <w:p w14:paraId="5EA578D7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1AE31756" w14:textId="77777777" w:rsidTr="008D133A">
        <w:trPr>
          <w:trHeight w:val="183"/>
        </w:trPr>
        <w:tc>
          <w:tcPr>
            <w:tcW w:w="2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CD8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1.2. Upravljanje i održavanje javne rasvjete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8BC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BF8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1E86" w14:textId="446A42D4" w:rsidR="00EB4D0A" w:rsidRPr="00410280" w:rsidRDefault="00C016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7E469" w14:textId="77777777" w:rsidR="00EB4D0A" w:rsidRPr="00410280" w:rsidRDefault="00EB4D0A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rasvjetnih tijela</w:t>
            </w:r>
          </w:p>
        </w:tc>
        <w:tc>
          <w:tcPr>
            <w:tcW w:w="223" w:type="dxa"/>
            <w:vAlign w:val="center"/>
            <w:hideMark/>
          </w:tcPr>
          <w:p w14:paraId="0392340A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282E9E6E" w14:textId="77777777" w:rsidTr="008D133A">
        <w:trPr>
          <w:trHeight w:val="183"/>
        </w:trPr>
        <w:tc>
          <w:tcPr>
            <w:tcW w:w="2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E75" w14:textId="69CAFB32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C170BA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33A" w:rsidRPr="00410280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groblja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B88" w14:textId="0E464C78" w:rsidR="00EB4D0A" w:rsidRPr="00410280" w:rsidRDefault="000119A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FC2" w14:textId="1F90E9CD" w:rsidR="00EB4D0A" w:rsidRPr="00410280" w:rsidRDefault="000119A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B2A6" w14:textId="7B121BD6" w:rsidR="00EB4D0A" w:rsidRPr="00410280" w:rsidRDefault="00C016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914A72" w14:textId="77777777" w:rsidR="00EB4D0A" w:rsidRPr="00410280" w:rsidRDefault="00EB4D0A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izvršenih sanacija i održavanja godišnje</w:t>
            </w:r>
          </w:p>
        </w:tc>
        <w:tc>
          <w:tcPr>
            <w:tcW w:w="223" w:type="dxa"/>
            <w:vAlign w:val="center"/>
            <w:hideMark/>
          </w:tcPr>
          <w:p w14:paraId="0DE1BD7A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7D5C497C" w14:textId="77777777" w:rsidTr="008D133A">
        <w:trPr>
          <w:trHeight w:val="189"/>
        </w:trPr>
        <w:tc>
          <w:tcPr>
            <w:tcW w:w="2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7E0" w14:textId="2B139970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133A"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0BA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Sanacija i održavanje </w:t>
            </w:r>
            <w:r w:rsidR="008D133A" w:rsidRPr="00410280">
              <w:rPr>
                <w:rFonts w:ascii="Times New Roman" w:hAnsi="Times New Roman" w:cs="Times New Roman"/>
                <w:sz w:val="24"/>
                <w:szCs w:val="24"/>
              </w:rPr>
              <w:t>zgrada i poslovnih prostora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910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8BC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EA61" w14:textId="04BEC1EC" w:rsidR="00EB4D0A" w:rsidRPr="00410280" w:rsidRDefault="00C016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26A9E" w14:textId="77777777" w:rsidR="00EB4D0A" w:rsidRPr="00410280" w:rsidRDefault="00EB4D0A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saniranih nekretnina</w:t>
            </w:r>
          </w:p>
        </w:tc>
        <w:tc>
          <w:tcPr>
            <w:tcW w:w="223" w:type="dxa"/>
            <w:vAlign w:val="center"/>
            <w:hideMark/>
          </w:tcPr>
          <w:p w14:paraId="4981385E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30DF8669" w14:textId="77777777" w:rsidTr="001F5E28">
        <w:trPr>
          <w:trHeight w:val="183"/>
        </w:trPr>
        <w:tc>
          <w:tcPr>
            <w:tcW w:w="2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87C03FF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 Hrvatska 2030.</w:t>
            </w:r>
          </w:p>
        </w:tc>
        <w:tc>
          <w:tcPr>
            <w:tcW w:w="7412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28B2217C" w14:textId="33F7C04B" w:rsidR="00EB4D0A" w:rsidRPr="00410280" w:rsidRDefault="001F5E28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12. Razvoj potpomognutih područja i područja s razvojnim posebnostima</w:t>
            </w:r>
          </w:p>
        </w:tc>
        <w:tc>
          <w:tcPr>
            <w:tcW w:w="223" w:type="dxa"/>
            <w:vAlign w:val="center"/>
            <w:hideMark/>
          </w:tcPr>
          <w:p w14:paraId="54BB4F56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0A" w:rsidRPr="00410280" w14:paraId="2931F6CE" w14:textId="77777777" w:rsidTr="001F5E28">
        <w:trPr>
          <w:trHeight w:val="183"/>
        </w:trPr>
        <w:tc>
          <w:tcPr>
            <w:tcW w:w="27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A3440C4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1A551C8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070" w14:textId="77777777" w:rsidR="00EB4D0A" w:rsidRPr="00410280" w:rsidRDefault="00EB4D0A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1891C" w14:textId="77777777" w:rsidR="004A1E52" w:rsidRPr="00410280" w:rsidRDefault="004A1E52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FFA1" w14:textId="3EF8B24F" w:rsidR="00B90741" w:rsidRPr="00410280" w:rsidRDefault="00B9074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MJERA 2. </w:t>
      </w:r>
    </w:p>
    <w:p w14:paraId="260D2DD2" w14:textId="769F8A9C" w:rsidR="00500461" w:rsidRPr="00410280" w:rsidRDefault="00002927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Natalitet, odgoj i obrazovanje</w:t>
      </w:r>
    </w:p>
    <w:p w14:paraId="7DF0FAD2" w14:textId="65D60B8A" w:rsidR="00D256C1" w:rsidRPr="00410280" w:rsidRDefault="004D5E1C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mjeru Natalitet, odgoj i obrazovanje definiraju </w:t>
      </w:r>
      <w:r w:rsidR="00F61ABB" w:rsidRPr="00410280">
        <w:rPr>
          <w:rFonts w:ascii="Times New Roman" w:hAnsi="Times New Roman" w:cs="Times New Roman"/>
          <w:sz w:val="24"/>
          <w:szCs w:val="24"/>
        </w:rPr>
        <w:t>5</w:t>
      </w:r>
      <w:r w:rsidR="00EE02DB" w:rsidRPr="00410280">
        <w:rPr>
          <w:rFonts w:ascii="Times New Roman" w:hAnsi="Times New Roman" w:cs="Times New Roman"/>
          <w:sz w:val="24"/>
          <w:szCs w:val="24"/>
        </w:rPr>
        <w:t xml:space="preserve"> aktivnosti koje se odnose na </w:t>
      </w:r>
      <w:r w:rsidR="006020A0" w:rsidRPr="00410280">
        <w:rPr>
          <w:rFonts w:ascii="Times New Roman" w:hAnsi="Times New Roman" w:cs="Times New Roman"/>
          <w:sz w:val="24"/>
          <w:szCs w:val="24"/>
        </w:rPr>
        <w:t xml:space="preserve">buduća ulaganja u </w:t>
      </w:r>
      <w:r w:rsidR="00162D8A" w:rsidRPr="00410280">
        <w:rPr>
          <w:rFonts w:ascii="Times New Roman" w:hAnsi="Times New Roman" w:cs="Times New Roman"/>
          <w:sz w:val="24"/>
          <w:szCs w:val="24"/>
        </w:rPr>
        <w:t xml:space="preserve">smanjenju nepovoljnog demografskog trenda i stopa iseljavanja koje su ključne među problemima lokalnih zajednica pa tako i Općine Majur, niska stopa nataliteta dovodi do izumiranja ruralnih sredina i nedostatka radne snage u njima. </w:t>
      </w:r>
      <w:r w:rsidR="00DE0DE1" w:rsidRPr="00410280">
        <w:rPr>
          <w:rFonts w:ascii="Times New Roman" w:hAnsi="Times New Roman" w:cs="Times New Roman"/>
          <w:sz w:val="24"/>
          <w:szCs w:val="24"/>
        </w:rPr>
        <w:t xml:space="preserve">Aktivnosti ove mjere utjecat će na smanjenje negativnog trenda i poboljšanja demografske slike </w:t>
      </w:r>
      <w:r w:rsidR="002B1B4B" w:rsidRPr="00410280">
        <w:rPr>
          <w:rFonts w:ascii="Times New Roman" w:hAnsi="Times New Roman" w:cs="Times New Roman"/>
          <w:sz w:val="24"/>
          <w:szCs w:val="24"/>
        </w:rPr>
        <w:t>općine Majur.</w:t>
      </w:r>
    </w:p>
    <w:p w14:paraId="2CC2EDDB" w14:textId="77777777" w:rsidR="008538F8" w:rsidRPr="00410280" w:rsidRDefault="008538F8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1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2671"/>
        <w:gridCol w:w="1670"/>
        <w:gridCol w:w="1670"/>
        <w:gridCol w:w="1523"/>
        <w:gridCol w:w="3178"/>
      </w:tblGrid>
      <w:tr w:rsidR="006020A0" w:rsidRPr="00410280" w14:paraId="31197F41" w14:textId="77777777" w:rsidTr="003D6026">
        <w:trPr>
          <w:trHeight w:val="712"/>
          <w:jc w:val="center"/>
        </w:trPr>
        <w:tc>
          <w:tcPr>
            <w:tcW w:w="1031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7546A090" w14:textId="39460B4B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2.</w:t>
            </w:r>
          </w:p>
          <w:p w14:paraId="318AB39E" w14:textId="1E0B006B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Natalitet, odgoj i obrazovanje</w:t>
            </w:r>
          </w:p>
        </w:tc>
      </w:tr>
      <w:tr w:rsidR="006020A0" w:rsidRPr="00410280" w14:paraId="6A6889A2" w14:textId="77777777" w:rsidTr="003D6026">
        <w:trPr>
          <w:trHeight w:val="712"/>
          <w:jc w:val="center"/>
        </w:trPr>
        <w:tc>
          <w:tcPr>
            <w:tcW w:w="10311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A33A5B3" w14:textId="77777777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A0" w:rsidRPr="00410280" w14:paraId="094EFD02" w14:textId="77777777" w:rsidTr="003D6026">
        <w:trPr>
          <w:trHeight w:val="214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775023D" w14:textId="4F2C0D9E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EE3B7B2" w14:textId="77777777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10B2A31" w14:textId="77777777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KRAJNJA VRIJEDNOST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45E5D77" w14:textId="77777777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345289" w14:textId="77777777" w:rsidR="006020A0" w:rsidRPr="00410280" w:rsidRDefault="006020A0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NAZIV POKAZATELJA</w:t>
            </w:r>
          </w:p>
        </w:tc>
      </w:tr>
      <w:tr w:rsidR="006020A0" w:rsidRPr="00410280" w14:paraId="746FB7B0" w14:textId="77777777" w:rsidTr="003D6026">
        <w:trPr>
          <w:trHeight w:val="206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E1CA" w14:textId="19316F4A" w:rsidR="006020A0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2.1. Sufinanciranje brige o novorođenoj djeci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C55C" w14:textId="02DB6FE3" w:rsidR="006020A0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33D0" w14:textId="7A657329" w:rsidR="006020A0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80CB" w14:textId="01825947" w:rsidR="006020A0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FF9122" w14:textId="3CAB0FFB" w:rsidR="006020A0" w:rsidRPr="00410280" w:rsidRDefault="005C6375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potpora iz proračuna</w:t>
            </w:r>
          </w:p>
        </w:tc>
      </w:tr>
      <w:tr w:rsidR="005C6375" w:rsidRPr="00410280" w14:paraId="3AFC1202" w14:textId="77777777" w:rsidTr="003D6026">
        <w:trPr>
          <w:trHeight w:val="206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3A15" w14:textId="0FEAA80E" w:rsidR="005C6375" w:rsidRPr="00410280" w:rsidRDefault="005C6375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2.2. Sufinanciranje troškova smještaja mladih obitelji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06FB" w14:textId="20FFF3BE" w:rsidR="005C6375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8C60" w14:textId="16367FA4" w:rsidR="005C6375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F366" w14:textId="3649A361" w:rsidR="005C6375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27768F" w14:textId="6B6D20C5" w:rsidR="005C6375" w:rsidRPr="00410280" w:rsidRDefault="005C6375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potpora iz proračuna</w:t>
            </w:r>
          </w:p>
        </w:tc>
      </w:tr>
      <w:tr w:rsidR="003D6026" w:rsidRPr="00410280" w14:paraId="03280874" w14:textId="77777777" w:rsidTr="003D6026">
        <w:trPr>
          <w:trHeight w:val="206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C4EA" w14:textId="25D0EDA7" w:rsidR="003D6026" w:rsidRPr="00410280" w:rsidRDefault="00B4239D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145" w:rsidRPr="0041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026" w:rsidRPr="00410280">
              <w:rPr>
                <w:rFonts w:ascii="Times New Roman" w:hAnsi="Times New Roman" w:cs="Times New Roman"/>
                <w:sz w:val="24"/>
                <w:szCs w:val="24"/>
              </w:rPr>
              <w:t>. Subvencije predškolskom obrazovanju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04C6" w14:textId="370C3783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E982" w14:textId="6ABA6651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084E" w14:textId="672A5418" w:rsidR="003D6026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B35747" w14:textId="3099D0C0" w:rsidR="003D6026" w:rsidRPr="00410280" w:rsidRDefault="003D6026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subvencija</w:t>
            </w:r>
          </w:p>
        </w:tc>
      </w:tr>
      <w:tr w:rsidR="003D6026" w:rsidRPr="00410280" w14:paraId="4EC183EC" w14:textId="77777777" w:rsidTr="00C170BA">
        <w:trPr>
          <w:trHeight w:val="206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254" w14:textId="57F81AFD" w:rsidR="003D6026" w:rsidRPr="00410280" w:rsidRDefault="00B4239D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145"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026" w:rsidRPr="00410280">
              <w:rPr>
                <w:rFonts w:ascii="Times New Roman" w:hAnsi="Times New Roman" w:cs="Times New Roman"/>
                <w:sz w:val="24"/>
                <w:szCs w:val="24"/>
              </w:rPr>
              <w:t>. Sufinanciranje troškova obrazovanja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969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596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0088" w14:textId="1692F029" w:rsidR="003D6026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C309B" w14:textId="77777777" w:rsidR="003D6026" w:rsidRPr="00410280" w:rsidRDefault="003D6026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sufinanciranog obrazovanja</w:t>
            </w:r>
          </w:p>
        </w:tc>
      </w:tr>
      <w:tr w:rsidR="003D6026" w:rsidRPr="00410280" w14:paraId="1D302FE7" w14:textId="77777777" w:rsidTr="00C170BA">
        <w:trPr>
          <w:trHeight w:val="214"/>
          <w:jc w:val="center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7DD" w14:textId="2020B682" w:rsidR="003D6026" w:rsidRPr="00410280" w:rsidRDefault="00B4239D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145" w:rsidRPr="00410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6026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Poticanje društvenih aktivnosti djece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F0A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8FE2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B55B" w14:textId="0603A157" w:rsidR="003D6026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BD3F3F" w14:textId="77777777" w:rsidR="003D6026" w:rsidRPr="00410280" w:rsidRDefault="003D6026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aktivno uključene djece u aktivnosti u zajednici</w:t>
            </w:r>
          </w:p>
        </w:tc>
      </w:tr>
      <w:tr w:rsidR="003D6026" w:rsidRPr="00410280" w14:paraId="53CA861D" w14:textId="77777777" w:rsidTr="003D6026">
        <w:trPr>
          <w:trHeight w:val="712"/>
          <w:jc w:val="center"/>
        </w:trPr>
        <w:tc>
          <w:tcPr>
            <w:tcW w:w="267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CAA667E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 Hrvatska 2030.</w:t>
            </w:r>
          </w:p>
        </w:tc>
        <w:tc>
          <w:tcPr>
            <w:tcW w:w="764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102AC4BF" w14:textId="66583F03" w:rsidR="003D6026" w:rsidRPr="00410280" w:rsidRDefault="003D6026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12. Razvoj potpomognutih područja i područja s razvojnim posebnostima</w:t>
            </w:r>
          </w:p>
        </w:tc>
      </w:tr>
      <w:tr w:rsidR="003D6026" w:rsidRPr="00410280" w14:paraId="15AA63E4" w14:textId="77777777" w:rsidTr="003D6026">
        <w:trPr>
          <w:trHeight w:val="712"/>
          <w:jc w:val="center"/>
        </w:trPr>
        <w:tc>
          <w:tcPr>
            <w:tcW w:w="267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B87DF41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68C767D" w14:textId="77777777" w:rsidR="003D6026" w:rsidRPr="00410280" w:rsidRDefault="003D6026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49209" w14:textId="3CB2D2C3" w:rsidR="006020A0" w:rsidRPr="00410280" w:rsidRDefault="006020A0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F0B0" w14:textId="07664DC5" w:rsidR="00002927" w:rsidRPr="00410280" w:rsidRDefault="00002927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 xml:space="preserve">MJERA 3. </w:t>
      </w:r>
    </w:p>
    <w:p w14:paraId="7AC24572" w14:textId="00E4F5DA" w:rsidR="00002927" w:rsidRPr="00410280" w:rsidRDefault="00002927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>Potpomognute skupine-zdravstvo i socijalna skrb</w:t>
      </w:r>
    </w:p>
    <w:p w14:paraId="64259DCC" w14:textId="5F8589BE" w:rsidR="00D256C1" w:rsidRPr="00410280" w:rsidRDefault="00673EF0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mjera definira zajednički pristup u rješavanju problema siromaštva i socijalne isključenosti, uz osiguravanje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minimalnog standarda najugroženijem dijelu društva, te sprječavanje novih pojava siromaštva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i socijalne isključenosti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žitelja općine Majur. Aktivnosti se baziraju</w:t>
      </w:r>
      <w:r w:rsidRPr="00410280">
        <w:rPr>
          <w:rFonts w:ascii="Times New Roman" w:hAnsi="Times New Roman" w:cs="Times New Roman"/>
          <w:sz w:val="24"/>
          <w:szCs w:val="24"/>
        </w:rPr>
        <w:t xml:space="preserve"> na osiguravanju uvjeta za ostvarenje tri glavna 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zdravstveno-socijalna </w:t>
      </w:r>
      <w:r w:rsidRPr="00410280">
        <w:rPr>
          <w:rFonts w:ascii="Times New Roman" w:hAnsi="Times New Roman" w:cs="Times New Roman"/>
          <w:sz w:val="24"/>
          <w:szCs w:val="24"/>
        </w:rPr>
        <w:t xml:space="preserve">prioriteta: </w:t>
      </w:r>
      <w:r w:rsidR="000E26F1" w:rsidRPr="00410280">
        <w:rPr>
          <w:rFonts w:ascii="Times New Roman" w:hAnsi="Times New Roman" w:cs="Times New Roman"/>
          <w:sz w:val="24"/>
          <w:szCs w:val="24"/>
        </w:rPr>
        <w:t>borbu</w:t>
      </w:r>
      <w:r w:rsidRPr="00410280">
        <w:rPr>
          <w:rFonts w:ascii="Times New Roman" w:hAnsi="Times New Roman" w:cs="Times New Roman"/>
          <w:sz w:val="24"/>
          <w:szCs w:val="24"/>
        </w:rPr>
        <w:t xml:space="preserve"> protiv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siromaštva i socijalne isključenosti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, zdravstvenu zaštitu najugroženijih, </w:t>
      </w:r>
      <w:r w:rsidRPr="00410280">
        <w:rPr>
          <w:rFonts w:ascii="Times New Roman" w:hAnsi="Times New Roman" w:cs="Times New Roman"/>
          <w:sz w:val="24"/>
          <w:szCs w:val="24"/>
        </w:rPr>
        <w:t xml:space="preserve"> te smanjenje nejednakosti u društvu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i</w:t>
      </w:r>
      <w:r w:rsidRPr="00410280">
        <w:rPr>
          <w:rFonts w:ascii="Times New Roman" w:hAnsi="Times New Roman" w:cs="Times New Roman"/>
          <w:sz w:val="24"/>
          <w:szCs w:val="24"/>
        </w:rPr>
        <w:t xml:space="preserve"> sprječavanje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Pr="00410280">
        <w:rPr>
          <w:rFonts w:ascii="Times New Roman" w:hAnsi="Times New Roman" w:cs="Times New Roman"/>
          <w:sz w:val="24"/>
          <w:szCs w:val="24"/>
        </w:rPr>
        <w:t>nastanka novih kategorija siromašnih, kao i smanjenja broja siromašnih i socijalno isključenih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osoba</w:t>
      </w:r>
      <w:r w:rsidR="002B1B4B" w:rsidRPr="00410280">
        <w:rPr>
          <w:rFonts w:ascii="Times New Roman" w:hAnsi="Times New Roman" w:cs="Times New Roman"/>
          <w:sz w:val="24"/>
          <w:szCs w:val="24"/>
        </w:rPr>
        <w:t>.</w:t>
      </w:r>
      <w:r w:rsidR="000E26F1" w:rsidRPr="00410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A062B" w14:textId="77777777" w:rsidR="00F61ABB" w:rsidRPr="00410280" w:rsidRDefault="00F61ABB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6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3401"/>
        <w:gridCol w:w="1670"/>
        <w:gridCol w:w="1670"/>
        <w:gridCol w:w="1523"/>
        <w:gridCol w:w="2159"/>
        <w:gridCol w:w="222"/>
      </w:tblGrid>
      <w:tr w:rsidR="00A9442B" w:rsidRPr="00410280" w14:paraId="11629E89" w14:textId="77777777" w:rsidTr="00444097">
        <w:trPr>
          <w:gridAfter w:val="1"/>
          <w:wAfter w:w="222" w:type="dxa"/>
          <w:trHeight w:val="712"/>
          <w:jc w:val="center"/>
        </w:trPr>
        <w:tc>
          <w:tcPr>
            <w:tcW w:w="10074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4B27B0E3" w14:textId="22FD8E66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3.</w:t>
            </w:r>
          </w:p>
          <w:p w14:paraId="4CB9DD10" w14:textId="212F1971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Potpomognute skupine-zdravstvo i socijalna skrb</w:t>
            </w:r>
          </w:p>
        </w:tc>
      </w:tr>
      <w:tr w:rsidR="00A9442B" w:rsidRPr="00410280" w14:paraId="608CDA11" w14:textId="77777777" w:rsidTr="00444097">
        <w:trPr>
          <w:trHeight w:val="311"/>
          <w:jc w:val="center"/>
        </w:trPr>
        <w:tc>
          <w:tcPr>
            <w:tcW w:w="10074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F689A94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B12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407D6220" w14:textId="77777777" w:rsidTr="00444097">
        <w:trPr>
          <w:trHeight w:val="218"/>
          <w:jc w:val="center"/>
        </w:trPr>
        <w:tc>
          <w:tcPr>
            <w:tcW w:w="3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696B7CA" w14:textId="744C9FDD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156C4B" w14:textId="77777777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3E83DA7" w14:textId="77777777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KRAJNJA VRIJEDNOST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9229A6" w14:textId="77777777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554BA6C" w14:textId="77777777" w:rsidR="00A9442B" w:rsidRPr="00410280" w:rsidRDefault="00A9442B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NAZIV POKAZATELJA</w:t>
            </w:r>
          </w:p>
        </w:tc>
        <w:tc>
          <w:tcPr>
            <w:tcW w:w="222" w:type="dxa"/>
            <w:vAlign w:val="center"/>
            <w:hideMark/>
          </w:tcPr>
          <w:p w14:paraId="1E80710A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611228AE" w14:textId="77777777" w:rsidTr="00444097">
        <w:trPr>
          <w:trHeight w:val="210"/>
          <w:jc w:val="center"/>
        </w:trPr>
        <w:tc>
          <w:tcPr>
            <w:tcW w:w="3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922" w14:textId="4873EFA2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3.1. Socijalna skrb za ranjive skupine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938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833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B15" w14:textId="363FA2A7" w:rsidR="00A9442B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C78687" w14:textId="77777777" w:rsidR="00A9442B" w:rsidRPr="00410280" w:rsidRDefault="00A9442B" w:rsidP="007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subvencija iz proračuna</w:t>
            </w:r>
          </w:p>
        </w:tc>
        <w:tc>
          <w:tcPr>
            <w:tcW w:w="222" w:type="dxa"/>
            <w:vAlign w:val="center"/>
            <w:hideMark/>
          </w:tcPr>
          <w:p w14:paraId="2180B0FA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2A7F54B5" w14:textId="77777777" w:rsidTr="00444097">
        <w:trPr>
          <w:trHeight w:val="210"/>
          <w:jc w:val="center"/>
        </w:trPr>
        <w:tc>
          <w:tcPr>
            <w:tcW w:w="3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5AC3" w14:textId="77F39A35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3.2. Osiguranje prehrane najugroženijim skupinama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D265" w14:textId="6EE9BEA9" w:rsidR="00A9442B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215E" w14:textId="0D096421" w:rsidR="00A9442B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E139" w14:textId="4234B58B" w:rsidR="00A9442B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8CB2BE3" w14:textId="7FBB51AD" w:rsidR="00A9442B" w:rsidRPr="00410280" w:rsidRDefault="00A9442B" w:rsidP="007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broj izdanih obroka u sklopu </w:t>
            </w:r>
            <w:r w:rsidR="00AA7AB3" w:rsidRPr="00410280">
              <w:rPr>
                <w:rFonts w:ascii="Times New Roman" w:hAnsi="Times New Roman" w:cs="Times New Roman"/>
                <w:sz w:val="24"/>
                <w:szCs w:val="24"/>
              </w:rPr>
              <w:t>socijalne kuhinje</w:t>
            </w:r>
          </w:p>
        </w:tc>
        <w:tc>
          <w:tcPr>
            <w:tcW w:w="222" w:type="dxa"/>
            <w:vAlign w:val="center"/>
          </w:tcPr>
          <w:p w14:paraId="355F77AF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044B7AF4" w14:textId="77777777" w:rsidTr="00444097">
        <w:trPr>
          <w:trHeight w:val="210"/>
          <w:jc w:val="center"/>
        </w:trPr>
        <w:tc>
          <w:tcPr>
            <w:tcW w:w="3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E74" w14:textId="40D0B29C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7AB3" w:rsidRPr="0041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. Sufinanciranje zdravstvene njege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98E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605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E198" w14:textId="781FC246" w:rsidR="00A9442B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C84B66" w14:textId="77777777" w:rsidR="00A9442B" w:rsidRPr="00410280" w:rsidRDefault="00A9442B" w:rsidP="007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subvencija iz proračuna</w:t>
            </w:r>
          </w:p>
        </w:tc>
        <w:tc>
          <w:tcPr>
            <w:tcW w:w="222" w:type="dxa"/>
            <w:vAlign w:val="center"/>
            <w:hideMark/>
          </w:tcPr>
          <w:p w14:paraId="65017752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6B9654B1" w14:textId="77777777" w:rsidTr="00444097">
        <w:trPr>
          <w:trHeight w:val="218"/>
          <w:jc w:val="center"/>
        </w:trPr>
        <w:tc>
          <w:tcPr>
            <w:tcW w:w="34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746" w14:textId="06D702F1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7AB3"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7AB3" w:rsidRPr="00410280">
              <w:rPr>
                <w:rFonts w:ascii="Times New Roman" w:hAnsi="Times New Roman" w:cs="Times New Roman"/>
                <w:sz w:val="24"/>
                <w:szCs w:val="24"/>
              </w:rPr>
              <w:t>Ranjive skupine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AA7AB3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aktivnostima 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u zajednici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0F4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964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58C4" w14:textId="1F9477D8" w:rsidR="00A9442B" w:rsidRPr="00410280" w:rsidRDefault="0044409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13566E" w14:textId="77777777" w:rsidR="00A9442B" w:rsidRPr="00410280" w:rsidRDefault="00A9442B" w:rsidP="007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uključenih osoba ranjivih skupina</w:t>
            </w:r>
          </w:p>
        </w:tc>
        <w:tc>
          <w:tcPr>
            <w:tcW w:w="222" w:type="dxa"/>
            <w:vAlign w:val="center"/>
            <w:hideMark/>
          </w:tcPr>
          <w:p w14:paraId="62E7A448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26C84AA3" w14:textId="77777777" w:rsidTr="00444097">
        <w:trPr>
          <w:trHeight w:val="210"/>
          <w:jc w:val="center"/>
        </w:trPr>
        <w:tc>
          <w:tcPr>
            <w:tcW w:w="340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13BF1C8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 Hrvatska 2030.</w:t>
            </w:r>
          </w:p>
        </w:tc>
        <w:tc>
          <w:tcPr>
            <w:tcW w:w="667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73B73349" w14:textId="0ACD488F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12. Razvoj potpomognutih područja i područja s razvojnim posebnostima</w:t>
            </w:r>
          </w:p>
        </w:tc>
        <w:tc>
          <w:tcPr>
            <w:tcW w:w="222" w:type="dxa"/>
            <w:vAlign w:val="center"/>
            <w:hideMark/>
          </w:tcPr>
          <w:p w14:paraId="5637691C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2B" w:rsidRPr="00410280" w14:paraId="1A3F1F38" w14:textId="77777777" w:rsidTr="00444097">
        <w:trPr>
          <w:trHeight w:val="210"/>
          <w:jc w:val="center"/>
        </w:trPr>
        <w:tc>
          <w:tcPr>
            <w:tcW w:w="340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CE42588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780B5D7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AE14" w14:textId="77777777" w:rsidR="00A9442B" w:rsidRPr="00410280" w:rsidRDefault="00A9442B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B2C8A" w14:textId="158BF9DE" w:rsidR="002D53BD" w:rsidRPr="00410280" w:rsidRDefault="002D53B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D6808" w14:textId="47954B84" w:rsidR="00CD769D" w:rsidRPr="00410280" w:rsidRDefault="00CD769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B02D" w14:textId="777782D6" w:rsidR="00002927" w:rsidRPr="00410280" w:rsidRDefault="00002927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>MJERA 4.</w:t>
      </w:r>
    </w:p>
    <w:p w14:paraId="077A53F1" w14:textId="7AF300B7" w:rsidR="002A206C" w:rsidRPr="00410280" w:rsidRDefault="008966D7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>Obnova i razvoj prostora</w:t>
      </w:r>
      <w:r w:rsidR="00DA59DF" w:rsidRPr="00410280">
        <w:rPr>
          <w:rFonts w:ascii="Times New Roman" w:hAnsi="Times New Roman" w:cs="Times New Roman"/>
          <w:b/>
          <w:bCs/>
          <w:sz w:val="24"/>
          <w:szCs w:val="24"/>
        </w:rPr>
        <w:t xml:space="preserve"> i okolišne raznolikosti</w:t>
      </w:r>
      <w:r w:rsidRPr="00410280">
        <w:rPr>
          <w:rFonts w:ascii="Times New Roman" w:hAnsi="Times New Roman" w:cs="Times New Roman"/>
          <w:b/>
          <w:bCs/>
          <w:sz w:val="24"/>
          <w:szCs w:val="24"/>
        </w:rPr>
        <w:t>, gospodarstva i poljoprivrede</w:t>
      </w:r>
    </w:p>
    <w:p w14:paraId="11776D0C" w14:textId="41E472AF" w:rsidR="005A7D81" w:rsidRPr="00410280" w:rsidRDefault="005A7D8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noProof/>
          <w:sz w:val="24"/>
          <w:szCs w:val="24"/>
          <w:shd w:val="clear" w:color="auto" w:fill="A8D08D" w:themeFill="accent6" w:themeFillTint="99"/>
          <w:lang w:eastAsia="hr-HR"/>
        </w:rPr>
        <w:drawing>
          <wp:inline distT="0" distB="0" distL="0" distR="0" wp14:anchorId="4AEA9D78" wp14:editId="577F18BA">
            <wp:extent cx="5554980" cy="1405890"/>
            <wp:effectExtent l="133350" t="114300" r="140970" b="1562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6283" cy="1421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10789D" w14:textId="11003357" w:rsidR="005A7D81" w:rsidRPr="00410280" w:rsidRDefault="005A7D8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Izvor: Akademija poljoprivrednih znanosti i Agronomski fakultet Sveučilišta u Zagrebu</w:t>
      </w:r>
    </w:p>
    <w:p w14:paraId="4B467E63" w14:textId="77777777" w:rsidR="005A7D81" w:rsidRPr="00410280" w:rsidRDefault="005A7D8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66C64" w14:textId="6B01C1E0" w:rsidR="00C170BA" w:rsidRPr="00410280" w:rsidRDefault="00806E65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mjera uključuje </w:t>
      </w:r>
      <w:r w:rsidR="00F61ABB" w:rsidRPr="00410280">
        <w:rPr>
          <w:rFonts w:ascii="Times New Roman" w:hAnsi="Times New Roman" w:cs="Times New Roman"/>
          <w:sz w:val="24"/>
          <w:szCs w:val="24"/>
        </w:rPr>
        <w:t>7</w:t>
      </w:r>
      <w:r w:rsidRPr="00410280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6056F0" w:rsidRPr="00410280">
        <w:rPr>
          <w:rFonts w:ascii="Times New Roman" w:hAnsi="Times New Roman" w:cs="Times New Roman"/>
          <w:sz w:val="24"/>
          <w:szCs w:val="24"/>
        </w:rPr>
        <w:t xml:space="preserve"> </w:t>
      </w:r>
      <w:r w:rsidR="00EF383A" w:rsidRPr="00410280">
        <w:rPr>
          <w:rFonts w:ascii="Times New Roman" w:hAnsi="Times New Roman" w:cs="Times New Roman"/>
          <w:sz w:val="24"/>
          <w:szCs w:val="24"/>
        </w:rPr>
        <w:t>temeljene na stvaranju uvjeta za obnovu i opstanak žitelja i općinske zajednice kroz ulaganje u  poljoprivredu, drvnu industriju te turizam kao temelj uspješne demografske, gospodarske i prostorne obnova te mogućnost zapošljavanja svih uzrasta</w:t>
      </w:r>
    </w:p>
    <w:p w14:paraId="3D779D45" w14:textId="7D85F117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F022F" w14:textId="21837E3F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F0111" w14:textId="2528BC46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B8DC4" w14:textId="6A0A64DA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F86E" w14:textId="4B0669C1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EA21" w14:textId="2709C5BD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9DA8" w14:textId="68F40022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60AD7" w14:textId="1A27EC7F" w:rsidR="008538F8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79DD" w14:textId="77777777" w:rsidR="007177AD" w:rsidRPr="00410280" w:rsidRDefault="007177AD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AF873" w14:textId="656A3123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BF1FE" w14:textId="77777777" w:rsidR="008538F8" w:rsidRPr="00410280" w:rsidRDefault="008538F8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9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2195"/>
        <w:gridCol w:w="2390"/>
        <w:gridCol w:w="2390"/>
        <w:gridCol w:w="2243"/>
        <w:gridCol w:w="2151"/>
        <w:gridCol w:w="236"/>
      </w:tblGrid>
      <w:tr w:rsidR="00877E7D" w:rsidRPr="00410280" w14:paraId="7A7ECF19" w14:textId="77777777" w:rsidTr="00877E7D">
        <w:trPr>
          <w:gridAfter w:val="1"/>
          <w:wAfter w:w="236" w:type="dxa"/>
          <w:trHeight w:val="712"/>
          <w:jc w:val="center"/>
        </w:trPr>
        <w:tc>
          <w:tcPr>
            <w:tcW w:w="10683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643D7643" w14:textId="4A2E7E22" w:rsidR="005D18AC" w:rsidRPr="00877E7D" w:rsidRDefault="005D18AC" w:rsidP="00913A6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7E7D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Mjera 4.</w:t>
            </w:r>
          </w:p>
          <w:p w14:paraId="24EEDC1B" w14:textId="32CF3AEA" w:rsidR="005D18AC" w:rsidRPr="00877E7D" w:rsidRDefault="005D18AC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b/>
                <w:bCs/>
                <w:szCs w:val="24"/>
              </w:rPr>
              <w:t>Obnova i razvoj prostora i okolišne raznolikosti, gospodarstva i poljoprivrede</w:t>
            </w:r>
          </w:p>
        </w:tc>
      </w:tr>
      <w:tr w:rsidR="00877E7D" w:rsidRPr="00410280" w14:paraId="72205D05" w14:textId="77777777" w:rsidTr="00877E7D">
        <w:trPr>
          <w:trHeight w:val="196"/>
          <w:jc w:val="center"/>
        </w:trPr>
        <w:tc>
          <w:tcPr>
            <w:tcW w:w="10683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DDBE35F" w14:textId="77777777" w:rsidR="005D18AC" w:rsidRPr="00877E7D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A5EE" w14:textId="77777777" w:rsidR="005D18AC" w:rsidRPr="00410280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47423A73" w14:textId="77777777" w:rsidTr="00877E7D">
        <w:trPr>
          <w:trHeight w:val="137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9D868B" w14:textId="77777777" w:rsidR="005D18AC" w:rsidRPr="00877E7D" w:rsidRDefault="005D18AC" w:rsidP="00913A6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AKTIVNOST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C3F7AE8" w14:textId="77777777" w:rsidR="005D18AC" w:rsidRPr="00877E7D" w:rsidRDefault="005D18AC" w:rsidP="00913A6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POČETNA VRIJEDNOST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A5AEC27" w14:textId="77777777" w:rsidR="005D18AC" w:rsidRPr="00877E7D" w:rsidRDefault="005D18AC" w:rsidP="00913A6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KRAJNJA VRIJEDNOST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D224DC9" w14:textId="77777777" w:rsidR="005D18AC" w:rsidRPr="00877E7D" w:rsidRDefault="005D18AC" w:rsidP="00913A64">
            <w:pPr>
              <w:pStyle w:val="Odlomakpopisa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PRORAČUN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80F0C03" w14:textId="77777777" w:rsidR="005D18AC" w:rsidRPr="00877E7D" w:rsidRDefault="005D18AC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NAZIV POKAZATELJA</w:t>
            </w:r>
          </w:p>
        </w:tc>
        <w:tc>
          <w:tcPr>
            <w:tcW w:w="236" w:type="dxa"/>
            <w:vAlign w:val="center"/>
            <w:hideMark/>
          </w:tcPr>
          <w:p w14:paraId="444C8976" w14:textId="77777777" w:rsidR="005D18AC" w:rsidRPr="00410280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29F8A937" w14:textId="77777777" w:rsidTr="00877E7D">
        <w:trPr>
          <w:trHeight w:val="131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BA9" w14:textId="705CA319" w:rsidR="005D18AC" w:rsidRPr="00877E7D" w:rsidRDefault="00A33A9B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</w:t>
            </w:r>
            <w:r w:rsidR="005D18AC" w:rsidRPr="00877E7D">
              <w:rPr>
                <w:rFonts w:ascii="Times New Roman" w:hAnsi="Times New Roman" w:cs="Times New Roman"/>
                <w:szCs w:val="24"/>
              </w:rPr>
              <w:t>.1. Uređenje javnih i zelenih površina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317" w14:textId="77777777" w:rsidR="005D18AC" w:rsidRPr="00877E7D" w:rsidRDefault="005D18AC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A406" w14:textId="77777777" w:rsidR="005D18AC" w:rsidRPr="00877E7D" w:rsidRDefault="005D18AC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69E" w14:textId="26780AB3" w:rsidR="005D18AC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A3C73B" w14:textId="77777777" w:rsidR="005D18AC" w:rsidRPr="00877E7D" w:rsidRDefault="005D18AC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uređenih površina</w:t>
            </w:r>
          </w:p>
        </w:tc>
        <w:tc>
          <w:tcPr>
            <w:tcW w:w="236" w:type="dxa"/>
            <w:vAlign w:val="center"/>
            <w:hideMark/>
          </w:tcPr>
          <w:p w14:paraId="251ECF05" w14:textId="77777777" w:rsidR="005D18AC" w:rsidRPr="00410280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744617FF" w14:textId="77777777" w:rsidTr="00877E7D">
        <w:trPr>
          <w:trHeight w:val="131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CCCA" w14:textId="5FE0D5BA" w:rsidR="00A33A9B" w:rsidRPr="00877E7D" w:rsidRDefault="00A33A9B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4.2.</w:t>
            </w:r>
            <w:r w:rsidR="00A8339F" w:rsidRPr="00877E7D">
              <w:rPr>
                <w:rFonts w:ascii="Times New Roman" w:hAnsi="Times New Roman" w:cs="Times New Roman"/>
                <w:szCs w:val="24"/>
              </w:rPr>
              <w:t xml:space="preserve"> Subvencije OPG-ima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57C5" w14:textId="4D298FA0" w:rsidR="00A33A9B" w:rsidRPr="00877E7D" w:rsidRDefault="000C6494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FA1C" w14:textId="622779C6" w:rsidR="00A33A9B" w:rsidRPr="00877E7D" w:rsidRDefault="000C6494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B9F8" w14:textId="222E7DD2" w:rsidR="00A33A9B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AC48F8" w14:textId="4CC74347" w:rsidR="00A33A9B" w:rsidRPr="00877E7D" w:rsidRDefault="00A8339F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isplata iz proračuna</w:t>
            </w:r>
          </w:p>
        </w:tc>
        <w:tc>
          <w:tcPr>
            <w:tcW w:w="236" w:type="dxa"/>
            <w:vAlign w:val="center"/>
          </w:tcPr>
          <w:p w14:paraId="2D781EE6" w14:textId="77777777" w:rsidR="00A33A9B" w:rsidRPr="00410280" w:rsidRDefault="00A33A9B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1099F35B" w14:textId="77777777" w:rsidTr="00877E7D">
        <w:trPr>
          <w:trHeight w:val="131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B6F1" w14:textId="174D2519" w:rsidR="00A8339F" w:rsidRPr="00877E7D" w:rsidRDefault="00A8339F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4.3. Subvencije LAG-u „Una“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4426" w14:textId="51515697" w:rsidR="00A8339F" w:rsidRPr="00877E7D" w:rsidRDefault="00D76492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1E5F" w14:textId="4BBD881C" w:rsidR="00A8339F" w:rsidRPr="00877E7D" w:rsidRDefault="00D76492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809" w14:textId="32EBBD92" w:rsidR="00A8339F" w:rsidRPr="00877E7D" w:rsidRDefault="00444097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45AF1E" w14:textId="152B867D" w:rsidR="00A8339F" w:rsidRPr="00877E7D" w:rsidRDefault="00A8339F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isplata iz proračuna po godinama</w:t>
            </w:r>
          </w:p>
        </w:tc>
        <w:tc>
          <w:tcPr>
            <w:tcW w:w="236" w:type="dxa"/>
            <w:vAlign w:val="center"/>
          </w:tcPr>
          <w:p w14:paraId="275C078A" w14:textId="77777777" w:rsidR="00A8339F" w:rsidRPr="00410280" w:rsidRDefault="00A8339F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6864C62B" w14:textId="77777777" w:rsidTr="00877E7D">
        <w:trPr>
          <w:trHeight w:val="131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1DF7" w14:textId="441C1020" w:rsidR="00A33A9B" w:rsidRPr="00877E7D" w:rsidRDefault="00A8339F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 xml:space="preserve">4.4. Subvencije poduzetnicima </w:t>
            </w:r>
            <w:r w:rsidR="001E756B" w:rsidRPr="00877E7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77E7D">
              <w:rPr>
                <w:rFonts w:ascii="Times New Roman" w:hAnsi="Times New Roman" w:cs="Times New Roman"/>
                <w:szCs w:val="24"/>
              </w:rPr>
              <w:t>obrtnicima</w:t>
            </w:r>
            <w:r w:rsidR="001E756B" w:rsidRPr="00877E7D">
              <w:rPr>
                <w:rFonts w:ascii="Times New Roman" w:hAnsi="Times New Roman" w:cs="Times New Roman"/>
                <w:szCs w:val="24"/>
              </w:rPr>
              <w:t xml:space="preserve"> i djelatnostima turizma u zajednici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49CC" w14:textId="1F7790BA" w:rsidR="00A33A9B" w:rsidRPr="00877E7D" w:rsidRDefault="000C6494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F25F" w14:textId="68D99483" w:rsidR="00A33A9B" w:rsidRPr="00877E7D" w:rsidRDefault="000C6494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097E" w14:textId="71FE76B7" w:rsidR="00A33A9B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35FE96" w14:textId="7BB3BCB1" w:rsidR="00A33A9B" w:rsidRPr="00877E7D" w:rsidRDefault="00A8339F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isplata iz proračuna</w:t>
            </w:r>
          </w:p>
        </w:tc>
        <w:tc>
          <w:tcPr>
            <w:tcW w:w="236" w:type="dxa"/>
            <w:vAlign w:val="center"/>
          </w:tcPr>
          <w:p w14:paraId="1B74BC34" w14:textId="77777777" w:rsidR="00A33A9B" w:rsidRPr="00410280" w:rsidRDefault="00A33A9B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419303DB" w14:textId="77777777" w:rsidTr="00877E7D">
        <w:trPr>
          <w:trHeight w:val="131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77E0" w14:textId="5088C18D" w:rsidR="005D18AC" w:rsidRPr="00877E7D" w:rsidRDefault="00A33A9B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4.</w:t>
            </w:r>
            <w:r w:rsidR="00A8339F" w:rsidRPr="00877E7D">
              <w:rPr>
                <w:rFonts w:ascii="Times New Roman" w:hAnsi="Times New Roman" w:cs="Times New Roman"/>
                <w:szCs w:val="24"/>
              </w:rPr>
              <w:t>5</w:t>
            </w:r>
            <w:r w:rsidR="005D18AC" w:rsidRPr="00877E7D">
              <w:rPr>
                <w:rFonts w:ascii="Times New Roman" w:hAnsi="Times New Roman" w:cs="Times New Roman"/>
                <w:szCs w:val="24"/>
              </w:rPr>
              <w:t>. Energetska</w:t>
            </w:r>
            <w:r w:rsidR="00E03248" w:rsidRPr="00877E7D">
              <w:rPr>
                <w:rFonts w:ascii="Times New Roman" w:hAnsi="Times New Roman" w:cs="Times New Roman"/>
                <w:szCs w:val="24"/>
              </w:rPr>
              <w:t xml:space="preserve"> i elementarna</w:t>
            </w:r>
            <w:r w:rsidR="005D18AC" w:rsidRPr="00877E7D">
              <w:rPr>
                <w:rFonts w:ascii="Times New Roman" w:hAnsi="Times New Roman" w:cs="Times New Roman"/>
                <w:szCs w:val="24"/>
              </w:rPr>
              <w:t xml:space="preserve"> obnova zgrada</w:t>
            </w:r>
            <w:r w:rsidR="00E03248" w:rsidRPr="00877E7D">
              <w:rPr>
                <w:rFonts w:ascii="Times New Roman" w:hAnsi="Times New Roman" w:cs="Times New Roman"/>
                <w:szCs w:val="24"/>
              </w:rPr>
              <w:t xml:space="preserve"> i poslovnih prostora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E7F" w14:textId="1A0D82FD" w:rsidR="005D18AC" w:rsidRPr="00877E7D" w:rsidRDefault="00562610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AF8" w14:textId="562ABC8C" w:rsidR="005D18AC" w:rsidRPr="00877E7D" w:rsidRDefault="00010A4E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2DF0" w14:textId="5182A7E0" w:rsidR="005D18AC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5E3B56" w14:textId="77777777" w:rsidR="005D18AC" w:rsidRPr="00877E7D" w:rsidRDefault="005D18AC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obnovljenih zgrada</w:t>
            </w:r>
          </w:p>
        </w:tc>
        <w:tc>
          <w:tcPr>
            <w:tcW w:w="236" w:type="dxa"/>
            <w:vAlign w:val="center"/>
            <w:hideMark/>
          </w:tcPr>
          <w:p w14:paraId="7B17227D" w14:textId="77777777" w:rsidR="005D18AC" w:rsidRPr="00410280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28AA7917" w14:textId="77777777" w:rsidTr="00877E7D">
        <w:trPr>
          <w:trHeight w:val="137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882" w14:textId="063EE9FE" w:rsidR="005D18AC" w:rsidRPr="00877E7D" w:rsidRDefault="00A33A9B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</w:t>
            </w:r>
            <w:r w:rsidR="005D18AC" w:rsidRPr="00877E7D">
              <w:rPr>
                <w:rFonts w:ascii="Times New Roman" w:hAnsi="Times New Roman" w:cs="Times New Roman"/>
                <w:szCs w:val="24"/>
              </w:rPr>
              <w:t>.</w:t>
            </w:r>
            <w:r w:rsidR="00A8339F" w:rsidRPr="00877E7D">
              <w:rPr>
                <w:rFonts w:ascii="Times New Roman" w:hAnsi="Times New Roman" w:cs="Times New Roman"/>
                <w:szCs w:val="24"/>
              </w:rPr>
              <w:t>6</w:t>
            </w:r>
            <w:r w:rsidR="005D18AC" w:rsidRPr="00877E7D">
              <w:rPr>
                <w:rFonts w:ascii="Times New Roman" w:hAnsi="Times New Roman" w:cs="Times New Roman"/>
                <w:szCs w:val="24"/>
              </w:rPr>
              <w:t>. Obnova društvenih površina i igrališta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5CD" w14:textId="77777777" w:rsidR="005D18AC" w:rsidRPr="00877E7D" w:rsidRDefault="005D18AC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365" w14:textId="6D616B9D" w:rsidR="005D18AC" w:rsidRPr="00877E7D" w:rsidRDefault="00562610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1844" w14:textId="167E0F0E" w:rsidR="005D18AC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Program 1002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59A03A" w14:textId="77777777" w:rsidR="005D18AC" w:rsidRPr="00877E7D" w:rsidRDefault="005D18AC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broj obnovljenih površina i igrališta</w:t>
            </w:r>
          </w:p>
        </w:tc>
        <w:tc>
          <w:tcPr>
            <w:tcW w:w="236" w:type="dxa"/>
            <w:vAlign w:val="center"/>
            <w:hideMark/>
          </w:tcPr>
          <w:p w14:paraId="42649B66" w14:textId="77777777" w:rsidR="005D18AC" w:rsidRPr="00410280" w:rsidRDefault="005D18AC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6ED93E8B" w14:textId="77777777" w:rsidTr="00877E7D">
        <w:trPr>
          <w:trHeight w:val="137"/>
          <w:jc w:val="center"/>
        </w:trPr>
        <w:tc>
          <w:tcPr>
            <w:tcW w:w="15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4DA1" w14:textId="2FECB542" w:rsidR="00F8213D" w:rsidRPr="00877E7D" w:rsidRDefault="00F8213D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4.7. Očuvanje kulturne baštine i promocija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E52A" w14:textId="25A502C9" w:rsidR="00F8213D" w:rsidRPr="00877E7D" w:rsidRDefault="00F8213D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67A0" w14:textId="4668A6DF" w:rsidR="00F8213D" w:rsidRPr="00877E7D" w:rsidRDefault="00F8213D" w:rsidP="00913A64">
            <w:pPr>
              <w:pStyle w:val="Odlomakpopisa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7091" w14:textId="36DE7AC2" w:rsidR="00F8213D" w:rsidRPr="00877E7D" w:rsidRDefault="00F26A80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 xml:space="preserve">Program </w:t>
            </w:r>
            <w:r w:rsidR="006F31DC" w:rsidRPr="00877E7D">
              <w:rPr>
                <w:rFonts w:ascii="Times New Roman" w:hAnsi="Times New Roman" w:cs="Times New Roman"/>
                <w:szCs w:val="24"/>
              </w:rPr>
              <w:t>1017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7A45DC" w14:textId="37D68849" w:rsidR="00F8213D" w:rsidRPr="00877E7D" w:rsidRDefault="00F8213D" w:rsidP="00913A6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szCs w:val="24"/>
              </w:rPr>
              <w:t xml:space="preserve">broj tiskanih letaka i </w:t>
            </w:r>
            <w:proofErr w:type="spellStart"/>
            <w:r w:rsidRPr="00877E7D">
              <w:rPr>
                <w:rFonts w:ascii="Times New Roman" w:hAnsi="Times New Roman" w:cs="Times New Roman"/>
                <w:szCs w:val="24"/>
              </w:rPr>
              <w:t>promo</w:t>
            </w:r>
            <w:proofErr w:type="spellEnd"/>
            <w:r w:rsidRPr="00877E7D">
              <w:rPr>
                <w:rFonts w:ascii="Times New Roman" w:hAnsi="Times New Roman" w:cs="Times New Roman"/>
                <w:szCs w:val="24"/>
              </w:rPr>
              <w:t xml:space="preserve"> materijala</w:t>
            </w:r>
          </w:p>
        </w:tc>
        <w:tc>
          <w:tcPr>
            <w:tcW w:w="236" w:type="dxa"/>
            <w:vAlign w:val="center"/>
          </w:tcPr>
          <w:p w14:paraId="62D70B4C" w14:textId="77777777" w:rsidR="00F8213D" w:rsidRPr="00410280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0ABF3115" w14:textId="77777777" w:rsidTr="00877E7D">
        <w:trPr>
          <w:trHeight w:val="131"/>
          <w:jc w:val="center"/>
        </w:trPr>
        <w:tc>
          <w:tcPr>
            <w:tcW w:w="1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EF42373" w14:textId="77777777" w:rsidR="00F8213D" w:rsidRPr="00877E7D" w:rsidRDefault="00F8213D" w:rsidP="00913A64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7E7D">
              <w:rPr>
                <w:rFonts w:ascii="Times New Roman" w:hAnsi="Times New Roman" w:cs="Times New Roman"/>
                <w:b/>
                <w:bCs/>
                <w:szCs w:val="24"/>
              </w:rPr>
              <w:t>Usklađenost s NRS  Hrvatska 2030.</w:t>
            </w:r>
          </w:p>
        </w:tc>
        <w:tc>
          <w:tcPr>
            <w:tcW w:w="9174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6700C02D" w14:textId="3435BBCB" w:rsidR="00F8213D" w:rsidRPr="00877E7D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77E7D">
              <w:rPr>
                <w:rFonts w:ascii="Times New Roman" w:hAnsi="Times New Roman" w:cs="Times New Roman"/>
                <w:b/>
                <w:bCs/>
                <w:szCs w:val="24"/>
              </w:rPr>
              <w:t>SC 12. Razvoj potpomognutih područja i područja s razvojnim posebnostima</w:t>
            </w:r>
          </w:p>
        </w:tc>
        <w:tc>
          <w:tcPr>
            <w:tcW w:w="236" w:type="dxa"/>
            <w:vAlign w:val="center"/>
            <w:hideMark/>
          </w:tcPr>
          <w:p w14:paraId="22D9708A" w14:textId="77777777" w:rsidR="00F8213D" w:rsidRPr="00410280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47C8CA09" w14:textId="77777777" w:rsidTr="00877E7D">
        <w:trPr>
          <w:trHeight w:val="131"/>
          <w:jc w:val="center"/>
        </w:trPr>
        <w:tc>
          <w:tcPr>
            <w:tcW w:w="1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CAA906" w14:textId="77777777" w:rsidR="00F8213D" w:rsidRPr="00410280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4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0C3466F" w14:textId="77777777" w:rsidR="00F8213D" w:rsidRPr="00410280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8D0" w14:textId="77777777" w:rsidR="00F8213D" w:rsidRPr="00410280" w:rsidRDefault="00F8213D" w:rsidP="00913A64">
            <w:pPr>
              <w:pStyle w:val="Odlomakpopis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6894B" w14:textId="558CBF17" w:rsidR="005A7D81" w:rsidRPr="00410280" w:rsidRDefault="005A7D81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BA70" w14:textId="37AF74CA" w:rsidR="00CD769D" w:rsidRPr="00410280" w:rsidRDefault="00CD769D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DE3AA" w14:textId="313827E4" w:rsidR="008966D7" w:rsidRPr="00410280" w:rsidRDefault="008966D7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>MJERA 5.</w:t>
      </w:r>
    </w:p>
    <w:p w14:paraId="525F2866" w14:textId="402281DB" w:rsidR="008966D7" w:rsidRPr="00410280" w:rsidRDefault="00D24306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>Sport i civilno društvo u zajednici</w:t>
      </w:r>
    </w:p>
    <w:p w14:paraId="0B4F6299" w14:textId="387C331E" w:rsidR="004D41B7" w:rsidRPr="00410280" w:rsidRDefault="005326F6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mjera osigurava zadovoljavanje temeljnih načela aktivnosti “trećeg”,  neprofitnog sektora koje su dobrovoljne i mogu biti orijentirane na zadovoljavanje potrebe određene grupe ljudi. Ovim aktivnostima orijentacija je  na stvaranje zajedničkog javnog dobra, a ne na stvaranje profita. Aktivnosti  obuhvaćaju dobrovoljno organiziranje i uključivanje žitelja općine u vjerske organizacije, sportske klubove i </w:t>
      </w:r>
      <w:r w:rsidR="004D41B7" w:rsidRPr="00410280">
        <w:rPr>
          <w:rFonts w:ascii="Times New Roman" w:hAnsi="Times New Roman" w:cs="Times New Roman"/>
          <w:sz w:val="24"/>
          <w:szCs w:val="24"/>
        </w:rPr>
        <w:t>udruge</w:t>
      </w:r>
      <w:r w:rsidRPr="00410280">
        <w:rPr>
          <w:rFonts w:ascii="Times New Roman" w:hAnsi="Times New Roman" w:cs="Times New Roman"/>
          <w:sz w:val="24"/>
          <w:szCs w:val="24"/>
        </w:rPr>
        <w:t xml:space="preserve"> za ostvarenje temeljnih civilnih vrijednosti čemu teži i ovo vodstvo Općine</w:t>
      </w:r>
      <w:r w:rsidR="004D41B7" w:rsidRPr="00410280">
        <w:rPr>
          <w:rFonts w:ascii="Times New Roman" w:hAnsi="Times New Roman" w:cs="Times New Roman"/>
          <w:sz w:val="24"/>
          <w:szCs w:val="24"/>
        </w:rPr>
        <w:t xml:space="preserve">, a to su </w:t>
      </w:r>
      <w:r w:rsidRPr="00410280">
        <w:rPr>
          <w:rFonts w:ascii="Times New Roman" w:hAnsi="Times New Roman" w:cs="Times New Roman"/>
          <w:sz w:val="24"/>
          <w:szCs w:val="24"/>
        </w:rPr>
        <w:t>poštovanje različitosti, humanost i odgovornost za druge</w:t>
      </w:r>
      <w:r w:rsidR="004D41B7" w:rsidRPr="00410280">
        <w:rPr>
          <w:rFonts w:ascii="Times New Roman" w:hAnsi="Times New Roman" w:cs="Times New Roman"/>
          <w:sz w:val="24"/>
          <w:szCs w:val="24"/>
        </w:rPr>
        <w:t xml:space="preserve"> posebice kada je riječ o mladima u zajednici.</w:t>
      </w:r>
    </w:p>
    <w:tbl>
      <w:tblPr>
        <w:tblW w:w="10623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3165"/>
        <w:gridCol w:w="1670"/>
        <w:gridCol w:w="1670"/>
        <w:gridCol w:w="1523"/>
        <w:gridCol w:w="2373"/>
        <w:gridCol w:w="222"/>
      </w:tblGrid>
      <w:tr w:rsidR="00877E7D" w:rsidRPr="00410280" w14:paraId="557765F2" w14:textId="77777777" w:rsidTr="00877E7D">
        <w:trPr>
          <w:gridAfter w:val="1"/>
          <w:wAfter w:w="222" w:type="dxa"/>
          <w:trHeight w:val="712"/>
          <w:jc w:val="center"/>
        </w:trPr>
        <w:tc>
          <w:tcPr>
            <w:tcW w:w="10401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514B320F" w14:textId="608A194D" w:rsidR="004D41B7" w:rsidRPr="00410280" w:rsidRDefault="004D41B7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5.</w:t>
            </w:r>
          </w:p>
          <w:p w14:paraId="4CCC5220" w14:textId="19BF2ED1" w:rsidR="004D41B7" w:rsidRPr="00410280" w:rsidRDefault="004D41B7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 i civilno društvo u zajednici</w:t>
            </w:r>
          </w:p>
        </w:tc>
      </w:tr>
      <w:tr w:rsidR="00877E7D" w:rsidRPr="00410280" w14:paraId="20D0972D" w14:textId="77777777" w:rsidTr="00877E7D">
        <w:trPr>
          <w:trHeight w:val="317"/>
          <w:jc w:val="center"/>
        </w:trPr>
        <w:tc>
          <w:tcPr>
            <w:tcW w:w="10401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08EEA53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6431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1D3DA73D" w14:textId="77777777" w:rsidTr="00877E7D">
        <w:trPr>
          <w:trHeight w:val="222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D4457FC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1F0590E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C954753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KRAJNJA VRIJEDNOST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5DE21CE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5C3AFD4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NAZIV POKAZATELJA</w:t>
            </w:r>
          </w:p>
        </w:tc>
        <w:tc>
          <w:tcPr>
            <w:tcW w:w="222" w:type="dxa"/>
            <w:vAlign w:val="center"/>
            <w:hideMark/>
          </w:tcPr>
          <w:p w14:paraId="6F3D499B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05DB1518" w14:textId="77777777" w:rsidTr="00877E7D">
        <w:trPr>
          <w:trHeight w:val="214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803D" w14:textId="41C64B39" w:rsidR="004D41B7" w:rsidRPr="00410280" w:rsidRDefault="00F8213D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5.1. Sufinanciranje sportskih klubova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7D06" w14:textId="409034DB" w:rsidR="004D41B7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395A" w14:textId="0192DF3E" w:rsidR="004D41B7" w:rsidRPr="00410280" w:rsidRDefault="00CA631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1A4B" w14:textId="03137C96" w:rsidR="004D41B7" w:rsidRPr="00410280" w:rsidRDefault="00F26A80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B689EF7" w14:textId="0C5F0291" w:rsidR="004D41B7" w:rsidRPr="00410280" w:rsidRDefault="00CF1AB8" w:rsidP="0087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subvencija iz proračuna</w:t>
            </w:r>
          </w:p>
        </w:tc>
        <w:tc>
          <w:tcPr>
            <w:tcW w:w="222" w:type="dxa"/>
            <w:vAlign w:val="center"/>
            <w:hideMark/>
          </w:tcPr>
          <w:p w14:paraId="17A73CFB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7A1A89FB" w14:textId="77777777" w:rsidTr="00877E7D">
        <w:trPr>
          <w:trHeight w:val="214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CC48" w14:textId="4D6A09EF" w:rsidR="00F8213D" w:rsidRPr="00410280" w:rsidRDefault="00F8213D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5.2. Sufinanciranje udruga civilnog društva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B343" w14:textId="020F13D7" w:rsidR="00F8213D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C14B" w14:textId="10DD3F2F" w:rsidR="00F8213D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3DAE" w14:textId="27A20A9F" w:rsidR="00F8213D" w:rsidRPr="00410280" w:rsidRDefault="00F26A80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33F11D" w14:textId="4E5FBEFD" w:rsidR="00F8213D" w:rsidRPr="00410280" w:rsidRDefault="00CF1AB8" w:rsidP="0087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isplaćenih subvencija iz proračuna</w:t>
            </w:r>
          </w:p>
        </w:tc>
        <w:tc>
          <w:tcPr>
            <w:tcW w:w="222" w:type="dxa"/>
            <w:vAlign w:val="center"/>
          </w:tcPr>
          <w:p w14:paraId="53B5A227" w14:textId="77777777" w:rsidR="00F8213D" w:rsidRPr="00410280" w:rsidRDefault="00F8213D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3B127509" w14:textId="77777777" w:rsidTr="00877E7D">
        <w:trPr>
          <w:trHeight w:val="214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E21" w14:textId="1B8AE068" w:rsidR="004D41B7" w:rsidRPr="00410280" w:rsidRDefault="00F8213D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1AB8" w:rsidRPr="0041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1B7" w:rsidRPr="00410280">
              <w:rPr>
                <w:rFonts w:ascii="Times New Roman" w:hAnsi="Times New Roman" w:cs="Times New Roman"/>
                <w:sz w:val="24"/>
                <w:szCs w:val="24"/>
              </w:rPr>
              <w:t>. Sufinanciranje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ostalih</w:t>
            </w:r>
            <w:r w:rsidR="004D41B7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sportskih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i kulturnih</w:t>
            </w:r>
            <w:r w:rsidR="004D41B7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B9B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E6B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BB67" w14:textId="23A10DAA" w:rsidR="004D41B7" w:rsidRPr="00410280" w:rsidRDefault="00F26A80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C733EA" w14:textId="77777777" w:rsidR="004D41B7" w:rsidRPr="00410280" w:rsidRDefault="004D41B7" w:rsidP="0087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subvencija iz proračuna</w:t>
            </w:r>
          </w:p>
        </w:tc>
        <w:tc>
          <w:tcPr>
            <w:tcW w:w="222" w:type="dxa"/>
            <w:vAlign w:val="center"/>
            <w:hideMark/>
          </w:tcPr>
          <w:p w14:paraId="461F5526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7855A966" w14:textId="77777777" w:rsidTr="00877E7D">
        <w:trPr>
          <w:trHeight w:val="214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921" w14:textId="552CA48C" w:rsidR="004D41B7" w:rsidRPr="00410280" w:rsidRDefault="00CF1AB8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5.4. Organizacija manifestacija i druženja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F2D" w14:textId="12CDA14A" w:rsidR="004D41B7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989" w14:textId="7248E693" w:rsidR="004D41B7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9DBC" w14:textId="0890D9DD" w:rsidR="004D41B7" w:rsidRPr="00410280" w:rsidRDefault="00F26A80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16FB47" w14:textId="5B83D596" w:rsidR="004D41B7" w:rsidRPr="00410280" w:rsidRDefault="00CF1AB8" w:rsidP="0087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manifestacija godišnje</w:t>
            </w:r>
          </w:p>
        </w:tc>
        <w:tc>
          <w:tcPr>
            <w:tcW w:w="222" w:type="dxa"/>
            <w:vAlign w:val="center"/>
            <w:hideMark/>
          </w:tcPr>
          <w:p w14:paraId="2FB2C5A9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6C40241C" w14:textId="77777777" w:rsidTr="00877E7D">
        <w:trPr>
          <w:trHeight w:val="822"/>
          <w:jc w:val="center"/>
        </w:trPr>
        <w:tc>
          <w:tcPr>
            <w:tcW w:w="316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96D" w14:textId="2C9662F1" w:rsidR="004D41B7" w:rsidRPr="00410280" w:rsidRDefault="00CF1AB8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D41B7" w:rsidRPr="00410280">
              <w:rPr>
                <w:rFonts w:ascii="Times New Roman" w:hAnsi="Times New Roman" w:cs="Times New Roman"/>
                <w:sz w:val="24"/>
                <w:szCs w:val="24"/>
              </w:rPr>
              <w:t>. Nagrađivanje uspješnosti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860" w14:textId="44A8CD5F" w:rsidR="004D41B7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A67" w14:textId="5B84FA6C" w:rsidR="004D41B7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E141" w14:textId="60AB0048" w:rsidR="004D41B7" w:rsidRPr="00410280" w:rsidRDefault="00F26A80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23A4E" w14:textId="77777777" w:rsidR="004D41B7" w:rsidRPr="00410280" w:rsidRDefault="004D41B7" w:rsidP="0087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uručenih nagrada iz proračuna</w:t>
            </w:r>
          </w:p>
        </w:tc>
        <w:tc>
          <w:tcPr>
            <w:tcW w:w="222" w:type="dxa"/>
            <w:vAlign w:val="center"/>
            <w:hideMark/>
          </w:tcPr>
          <w:p w14:paraId="6FF384F2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3E9EDB6E" w14:textId="77777777" w:rsidTr="00877E7D">
        <w:trPr>
          <w:trHeight w:val="214"/>
          <w:jc w:val="center"/>
        </w:trPr>
        <w:tc>
          <w:tcPr>
            <w:tcW w:w="31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3B62B19" w14:textId="77777777" w:rsidR="004D41B7" w:rsidRPr="00410280" w:rsidRDefault="004D41B7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 Hrvatska 2030.</w:t>
            </w:r>
          </w:p>
        </w:tc>
        <w:tc>
          <w:tcPr>
            <w:tcW w:w="7236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2EA051B3" w14:textId="03637366" w:rsidR="004D41B7" w:rsidRPr="00410280" w:rsidRDefault="00F8213D" w:rsidP="00877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12. Razvoj potpomognutih područja i područja s razvojnim posebnostima</w:t>
            </w:r>
          </w:p>
        </w:tc>
        <w:tc>
          <w:tcPr>
            <w:tcW w:w="222" w:type="dxa"/>
            <w:vAlign w:val="center"/>
            <w:hideMark/>
          </w:tcPr>
          <w:p w14:paraId="576AFDFE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410280" w14:paraId="30CCB655" w14:textId="77777777" w:rsidTr="00877E7D">
        <w:trPr>
          <w:trHeight w:val="214"/>
          <w:jc w:val="center"/>
        </w:trPr>
        <w:tc>
          <w:tcPr>
            <w:tcW w:w="31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54E2D9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68FA182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9AC" w14:textId="77777777" w:rsidR="004D41B7" w:rsidRPr="00410280" w:rsidRDefault="004D41B7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6E858" w14:textId="727C0F6F" w:rsidR="00450DDA" w:rsidRPr="00410280" w:rsidRDefault="00450DDA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B488" w14:textId="639E52E0" w:rsidR="00D24306" w:rsidRPr="00410280" w:rsidRDefault="00D24306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 xml:space="preserve">MJERA 6. </w:t>
      </w:r>
    </w:p>
    <w:p w14:paraId="4BDE5116" w14:textId="29C24DD6" w:rsidR="00D24306" w:rsidRPr="00410280" w:rsidRDefault="00D24306" w:rsidP="00913A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280">
        <w:rPr>
          <w:rFonts w:ascii="Times New Roman" w:hAnsi="Times New Roman" w:cs="Times New Roman"/>
          <w:b/>
          <w:bCs/>
          <w:sz w:val="24"/>
          <w:szCs w:val="24"/>
        </w:rPr>
        <w:t>Zaštita okoline i žitelja</w:t>
      </w:r>
    </w:p>
    <w:p w14:paraId="5A5C85BD" w14:textId="51A35FB6" w:rsidR="00CD769D" w:rsidRPr="00410280" w:rsidRDefault="004F7EF3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aktivnosti ove mjere odnose se na zaštitu žitelja općine Majur</w:t>
      </w:r>
      <w:r w:rsidR="005C2AFE" w:rsidRPr="00410280">
        <w:rPr>
          <w:rFonts w:ascii="Times New Roman" w:hAnsi="Times New Roman" w:cs="Times New Roman"/>
          <w:sz w:val="24"/>
          <w:szCs w:val="24"/>
        </w:rPr>
        <w:t xml:space="preserve"> od općih nepogoda, </w:t>
      </w:r>
      <w:r w:rsidRPr="00410280">
        <w:rPr>
          <w:rFonts w:ascii="Times New Roman" w:hAnsi="Times New Roman" w:cs="Times New Roman"/>
          <w:sz w:val="24"/>
          <w:szCs w:val="24"/>
        </w:rPr>
        <w:t>situacijama koje izazovu elementarne nepogode</w:t>
      </w:r>
      <w:r w:rsidR="005C2AFE" w:rsidRPr="00410280">
        <w:rPr>
          <w:rFonts w:ascii="Times New Roman" w:hAnsi="Times New Roman" w:cs="Times New Roman"/>
          <w:sz w:val="24"/>
          <w:szCs w:val="24"/>
        </w:rPr>
        <w:t xml:space="preserve"> te </w:t>
      </w:r>
      <w:r w:rsidRPr="00410280">
        <w:rPr>
          <w:rFonts w:ascii="Times New Roman" w:hAnsi="Times New Roman" w:cs="Times New Roman"/>
          <w:sz w:val="24"/>
          <w:szCs w:val="24"/>
        </w:rPr>
        <w:t>prirodne katastrofe</w:t>
      </w:r>
    </w:p>
    <w:p w14:paraId="039BAA14" w14:textId="77777777" w:rsidR="00F61ABB" w:rsidRPr="00410280" w:rsidRDefault="00F61ABB" w:rsidP="00913A6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3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9"/>
        <w:gridCol w:w="1670"/>
        <w:gridCol w:w="1670"/>
        <w:gridCol w:w="1523"/>
        <w:gridCol w:w="3310"/>
        <w:gridCol w:w="225"/>
      </w:tblGrid>
      <w:tr w:rsidR="001E2864" w:rsidRPr="00410280" w14:paraId="2E839ED9" w14:textId="77777777" w:rsidTr="001E2864">
        <w:trPr>
          <w:gridAfter w:val="1"/>
          <w:wAfter w:w="225" w:type="dxa"/>
          <w:trHeight w:val="712"/>
          <w:jc w:val="center"/>
        </w:trPr>
        <w:tc>
          <w:tcPr>
            <w:tcW w:w="10048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bottom"/>
            <w:hideMark/>
          </w:tcPr>
          <w:p w14:paraId="24D42684" w14:textId="060E52AB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6.</w:t>
            </w:r>
          </w:p>
          <w:p w14:paraId="79D654E4" w14:textId="69BA01E2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okoline i žitelja</w:t>
            </w:r>
          </w:p>
        </w:tc>
      </w:tr>
      <w:tr w:rsidR="001E2864" w:rsidRPr="00410280" w14:paraId="68F8A4D9" w14:textId="77777777" w:rsidTr="001E2864">
        <w:trPr>
          <w:trHeight w:val="463"/>
          <w:jc w:val="center"/>
        </w:trPr>
        <w:tc>
          <w:tcPr>
            <w:tcW w:w="10048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A71B397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9A4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64" w:rsidRPr="00410280" w14:paraId="1359CA29" w14:textId="77777777" w:rsidTr="006F31DC">
        <w:trPr>
          <w:trHeight w:val="326"/>
          <w:jc w:val="center"/>
        </w:trPr>
        <w:tc>
          <w:tcPr>
            <w:tcW w:w="2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5D904BB" w14:textId="6E8617D3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9742FE" w14:textId="77777777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2F1C191" w14:textId="77777777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KRAJNJA VRIJEDNOST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F9BD9D4" w14:textId="77777777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900611F" w14:textId="77777777" w:rsidR="001E2864" w:rsidRPr="00410280" w:rsidRDefault="001E2864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NAZIV POKAZATELJA</w:t>
            </w:r>
          </w:p>
        </w:tc>
        <w:tc>
          <w:tcPr>
            <w:tcW w:w="225" w:type="dxa"/>
            <w:vAlign w:val="center"/>
            <w:hideMark/>
          </w:tcPr>
          <w:p w14:paraId="7E9ACA8F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64" w:rsidRPr="00410280" w14:paraId="10C6FEDB" w14:textId="77777777" w:rsidTr="006F31DC">
        <w:trPr>
          <w:trHeight w:val="313"/>
          <w:jc w:val="center"/>
        </w:trPr>
        <w:tc>
          <w:tcPr>
            <w:tcW w:w="2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442" w14:textId="327604EE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6.1. Ulaganje u opremu izvoditelja/dobrovoljaca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F1C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1E2F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B20A" w14:textId="64D60BF4" w:rsidR="001E2864" w:rsidRPr="00410280" w:rsidRDefault="006F31DC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1BEF9D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novonabavljene opreme</w:t>
            </w:r>
          </w:p>
        </w:tc>
        <w:tc>
          <w:tcPr>
            <w:tcW w:w="225" w:type="dxa"/>
            <w:vAlign w:val="center"/>
            <w:hideMark/>
          </w:tcPr>
          <w:p w14:paraId="07C44CE7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64" w:rsidRPr="00410280" w14:paraId="4E4834C6" w14:textId="77777777" w:rsidTr="006F31DC">
        <w:trPr>
          <w:trHeight w:val="313"/>
          <w:jc w:val="center"/>
        </w:trPr>
        <w:tc>
          <w:tcPr>
            <w:tcW w:w="2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CF3B" w14:textId="682BD824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3A7A09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Sufinanciranje rada nositelja zaštite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2B3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5D0" w14:textId="0B0CE4BF" w:rsidR="001E2864" w:rsidRPr="00410280" w:rsidRDefault="00010A4E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C622" w14:textId="152F3FFC" w:rsidR="001E2864" w:rsidRPr="00410280" w:rsidRDefault="006F31DC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Program 1000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94CCB5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broj subvencija iz proračuna</w:t>
            </w:r>
          </w:p>
        </w:tc>
        <w:tc>
          <w:tcPr>
            <w:tcW w:w="225" w:type="dxa"/>
            <w:vAlign w:val="center"/>
            <w:hideMark/>
          </w:tcPr>
          <w:p w14:paraId="477E2B19" w14:textId="77777777" w:rsidR="001E2864" w:rsidRPr="00410280" w:rsidRDefault="001E2864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09" w:rsidRPr="00410280" w14:paraId="5EAAE89D" w14:textId="77777777" w:rsidTr="003A7A09">
        <w:trPr>
          <w:trHeight w:val="313"/>
          <w:jc w:val="center"/>
        </w:trPr>
        <w:tc>
          <w:tcPr>
            <w:tcW w:w="25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E763C36" w14:textId="77777777" w:rsidR="003A7A09" w:rsidRPr="00410280" w:rsidRDefault="003A7A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 Hrvatska 2030.</w:t>
            </w:r>
          </w:p>
        </w:tc>
        <w:tc>
          <w:tcPr>
            <w:tcW w:w="7514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14:paraId="38F0A0D6" w14:textId="30939432" w:rsidR="003A7A09" w:rsidRPr="00410280" w:rsidRDefault="003A7A09" w:rsidP="00913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12. Razvoj potpomognutih područja i područja s razvojnim posebnostima</w:t>
            </w:r>
          </w:p>
        </w:tc>
        <w:tc>
          <w:tcPr>
            <w:tcW w:w="225" w:type="dxa"/>
            <w:vAlign w:val="center"/>
            <w:hideMark/>
          </w:tcPr>
          <w:p w14:paraId="02570015" w14:textId="77777777" w:rsidR="003A7A09" w:rsidRPr="00410280" w:rsidRDefault="003A7A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09" w:rsidRPr="00410280" w14:paraId="7A888CB4" w14:textId="77777777" w:rsidTr="003A7A09">
        <w:trPr>
          <w:trHeight w:val="313"/>
          <w:jc w:val="center"/>
        </w:trPr>
        <w:tc>
          <w:tcPr>
            <w:tcW w:w="25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DAAB7B6" w14:textId="77777777" w:rsidR="003A7A09" w:rsidRPr="00410280" w:rsidRDefault="003A7A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956A871" w14:textId="77777777" w:rsidR="003A7A09" w:rsidRPr="00410280" w:rsidRDefault="003A7A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367" w14:textId="77777777" w:rsidR="003A7A09" w:rsidRPr="00410280" w:rsidRDefault="003A7A09" w:rsidP="00913A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7CD31" w14:textId="77777777" w:rsidR="005C2AFE" w:rsidRPr="00410280" w:rsidRDefault="005C2AFE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835BD" w14:textId="77777777" w:rsidR="00291271" w:rsidRPr="00410280" w:rsidRDefault="0029127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91271" w:rsidRPr="00410280" w:rsidSect="00E143E1">
          <w:footerReference w:type="default" r:id="rId17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D762843" w14:textId="6FBF57E0" w:rsidR="00834ACE" w:rsidRPr="007A6053" w:rsidRDefault="004A4A69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</w:rPr>
      </w:pPr>
      <w:bookmarkStart w:id="16" w:name="_Toc91834195"/>
      <w:r w:rsidRPr="007A6053">
        <w:rPr>
          <w:rFonts w:ascii="Times New Roman" w:hAnsi="Times New Roman" w:cs="Times New Roman"/>
          <w:b/>
          <w:color w:val="auto"/>
        </w:rPr>
        <w:lastRenderedPageBreak/>
        <w:t>PROJEKTI BUDUĆEG RAZVOJA</w:t>
      </w:r>
      <w:bookmarkEnd w:id="16"/>
    </w:p>
    <w:tbl>
      <w:tblPr>
        <w:tblW w:w="14447" w:type="dxa"/>
        <w:tblLook w:val="04A0" w:firstRow="1" w:lastRow="0" w:firstColumn="1" w:lastColumn="0" w:noHBand="0" w:noVBand="1"/>
      </w:tblPr>
      <w:tblGrid>
        <w:gridCol w:w="2763"/>
        <w:gridCol w:w="1895"/>
        <w:gridCol w:w="2184"/>
        <w:gridCol w:w="3417"/>
        <w:gridCol w:w="4188"/>
      </w:tblGrid>
      <w:tr w:rsidR="00537FA3" w:rsidRPr="00410280" w14:paraId="6FBB6DDA" w14:textId="77777777" w:rsidTr="00537FA3">
        <w:trPr>
          <w:trHeight w:val="66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4E4663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EF1B67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Vrijednost projekta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FB3DA6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 projekta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78CD45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rezultata projekta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F6779E0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Usklađenost s NRS 2030.</w:t>
            </w:r>
          </w:p>
        </w:tc>
      </w:tr>
      <w:tr w:rsidR="00537FA3" w:rsidRPr="00410280" w14:paraId="391C2DEB" w14:textId="77777777" w:rsidTr="001545C0">
        <w:trPr>
          <w:trHeight w:val="10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F1F" w14:textId="5F4967DE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Obnova potresom oštećenih društvenih objekata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7388" w14:textId="1BFF5D54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7.000.000,00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5E1" w14:textId="15577503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kapitalne pomoći iz državnog proračuna/pomoći temeljem prijenosa EU sredstava</w:t>
            </w:r>
          </w:p>
          <w:p w14:paraId="1F87B1E6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namjenska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9361" w14:textId="06CE90D2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saniranih </w:t>
            </w:r>
            <w:r w:rsidR="0003268D"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objekata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AD40" w14:textId="2CAA16A5" w:rsidR="00537FA3" w:rsidRPr="00410280" w:rsidRDefault="0003268D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</w:tc>
      </w:tr>
      <w:tr w:rsidR="00537FA3" w:rsidRPr="00410280" w14:paraId="094D188B" w14:textId="77777777" w:rsidTr="00913A64">
        <w:trPr>
          <w:trHeight w:val="12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A9" w14:textId="6D2BCBC8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Razvoj turističkih sadržaja i izgradnja turističke infrastrukture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882" w14:textId="7C5CF599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605" w14:textId="3147E975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kapitalne i tekuće pomoći iz državnog proračuna/pomoći temeljem prijenosa EU sredstava</w:t>
            </w:r>
          </w:p>
          <w:p w14:paraId="44750301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namjenska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1A7F" w14:textId="726DA408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  <w:r w:rsidR="0003268D"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manifestacija i posjetitelja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1DF" w14:textId="77777777" w:rsidR="00537FA3" w:rsidRPr="00410280" w:rsidRDefault="00537FA3" w:rsidP="0091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  <w:p w14:paraId="04B75BE5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A3" w:rsidRPr="00410280" w14:paraId="3B11262C" w14:textId="77777777" w:rsidTr="00913A64">
        <w:trPr>
          <w:trHeight w:val="16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062" w14:textId="664F4907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Poboljšanje i pružanje socijalnih usluga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008" w14:textId="438197E7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345" w14:textId="65D20B9C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tekuće pomoći iz državnog proračuna/pomoći temeljem prijenosa EU sredstava</w:t>
            </w:r>
          </w:p>
          <w:p w14:paraId="63570713" w14:textId="77777777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tekuće</w:t>
            </w:r>
            <w:r w:rsidR="00537FA3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r w:rsidR="00537FA3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iz županijskog proračuna</w:t>
            </w:r>
          </w:p>
          <w:p w14:paraId="3CE79908" w14:textId="51153BDE" w:rsidR="00214849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namjenska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F04" w14:textId="6A90F19F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</w:t>
            </w:r>
            <w:r w:rsidR="0003268D"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korisnika pružene pomoći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E63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</w:tc>
      </w:tr>
      <w:tr w:rsidR="00537FA3" w:rsidRPr="00410280" w14:paraId="7DA8C863" w14:textId="77777777" w:rsidTr="00913A64">
        <w:trPr>
          <w:trHeight w:val="100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9B7" w14:textId="376F42A1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Stvaranja uvjeta za gospodarski razvoj i demografski oporavak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241" w14:textId="3428181C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1C" w14:textId="39A499BF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</w:t>
            </w:r>
            <w:r w:rsidR="00537FA3" w:rsidRPr="00410280">
              <w:rPr>
                <w:rFonts w:ascii="Times New Roman" w:hAnsi="Times New Roman" w:cs="Times New Roman"/>
                <w:sz w:val="24"/>
                <w:szCs w:val="24"/>
              </w:rPr>
              <w:t xml:space="preserve"> pomoć temeljem prijenosa EU sredstava</w:t>
            </w:r>
          </w:p>
          <w:p w14:paraId="7AAB083A" w14:textId="129A2D26" w:rsidR="0003268D" w:rsidRPr="00410280" w:rsidRDefault="0003268D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 pomoć iz državnog proračuna</w:t>
            </w:r>
          </w:p>
          <w:p w14:paraId="3FC2D6C8" w14:textId="5E2AAF4E" w:rsidR="0003268D" w:rsidRPr="00410280" w:rsidRDefault="0003268D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 pomoć iz županijskog proračuna</w:t>
            </w:r>
          </w:p>
          <w:p w14:paraId="5607AD7C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namjenska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BAA" w14:textId="4D9E0321" w:rsidR="00537FA3" w:rsidRPr="00410280" w:rsidRDefault="0003268D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broj novih investicija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7EFE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</w:tc>
      </w:tr>
      <w:tr w:rsidR="00537FA3" w:rsidRPr="00410280" w14:paraId="2DF170EF" w14:textId="77777777" w:rsidTr="00913A64">
        <w:trPr>
          <w:trHeight w:val="10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7061" w14:textId="4916BA1E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Izgradnja sportsko rekreacijskog centra Maju</w:t>
            </w:r>
            <w:r w:rsidR="00B6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bookmarkStart w:id="17" w:name="_GoBack"/>
            <w:bookmarkEnd w:id="17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12B" w14:textId="73851FD3" w:rsidR="00537FA3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6.000.000,00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FA0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 pomoć temeljem prijenosa EU sredstava</w:t>
            </w:r>
          </w:p>
          <w:p w14:paraId="352B0F06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vlastita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211C" w14:textId="57041A68" w:rsidR="00537FA3" w:rsidRPr="00410280" w:rsidRDefault="0003268D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novoizgrađenih objekata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1766" w14:textId="77777777" w:rsidR="00537FA3" w:rsidRPr="00410280" w:rsidRDefault="00537FA3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</w:tc>
      </w:tr>
      <w:tr w:rsidR="00214849" w:rsidRPr="00410280" w14:paraId="66567E53" w14:textId="77777777" w:rsidTr="00913A64">
        <w:trPr>
          <w:trHeight w:val="10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E8B" w14:textId="64038C9F" w:rsidR="00214849" w:rsidRPr="00410280" w:rsidRDefault="00214849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Izgradnja i pojačano održavanje komunalne infrastrukture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71A" w14:textId="72400DDA" w:rsidR="00214849" w:rsidRPr="00410280" w:rsidRDefault="00214849" w:rsidP="00913A64">
            <w:pPr>
              <w:tabs>
                <w:tab w:val="left" w:pos="5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955" w14:textId="3BEED76A" w:rsidR="0003268D" w:rsidRPr="00410280" w:rsidRDefault="0003268D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 pomoć temeljem prijenosa EU sredstava</w:t>
            </w:r>
          </w:p>
          <w:p w14:paraId="54CABFBE" w14:textId="5CC96820" w:rsidR="0003268D" w:rsidRPr="00410280" w:rsidRDefault="0003268D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kapitalna pomoć iz državnog proračuna</w:t>
            </w:r>
          </w:p>
          <w:p w14:paraId="143ECCFC" w14:textId="4BA2B461" w:rsidR="00214849" w:rsidRPr="00410280" w:rsidRDefault="0003268D" w:rsidP="00913A64">
            <w:pPr>
              <w:tabs>
                <w:tab w:val="left" w:pos="5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vlastita sredstva Općine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9F89" w14:textId="0447AAFC" w:rsidR="00214849" w:rsidRPr="00410280" w:rsidRDefault="0003268D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ulaganja u komunalnu infrastrukturu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2940" w14:textId="54CAACE8" w:rsidR="00214849" w:rsidRPr="00410280" w:rsidRDefault="0003268D" w:rsidP="00913A64">
            <w:pPr>
              <w:tabs>
                <w:tab w:val="left" w:pos="5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80">
              <w:rPr>
                <w:rFonts w:ascii="Times New Roman" w:hAnsi="Times New Roman" w:cs="Times New Roman"/>
                <w:sz w:val="24"/>
                <w:szCs w:val="24"/>
              </w:rPr>
              <w:t>SC 12. Razvoj potpomognutih područja i područja s razvojnim posebnostima</w:t>
            </w:r>
          </w:p>
        </w:tc>
      </w:tr>
    </w:tbl>
    <w:p w14:paraId="3C7277D7" w14:textId="77777777" w:rsidR="00291271" w:rsidRPr="00410280" w:rsidRDefault="00291271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91271" w:rsidRPr="00410280" w:rsidSect="00E616EB">
          <w:pgSz w:w="16838" w:h="11906" w:orient="landscape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3F6A2BD4" w14:textId="0DCAC826" w:rsidR="004A4A69" w:rsidRPr="0033196B" w:rsidRDefault="00E7220E" w:rsidP="007A6053">
      <w:pPr>
        <w:pStyle w:val="Naslov2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</w:rPr>
      </w:pPr>
      <w:bookmarkStart w:id="18" w:name="_Toc91834196"/>
      <w:r w:rsidRPr="0033196B">
        <w:rPr>
          <w:rFonts w:ascii="Times New Roman" w:hAnsi="Times New Roman" w:cs="Times New Roman"/>
          <w:b/>
          <w:color w:val="auto"/>
          <w:sz w:val="24"/>
        </w:rPr>
        <w:lastRenderedPageBreak/>
        <w:t>PRAĆENJE I IZVJEŠTAVANJE O PROVEDBI MJERA PROVEDBENOG PROGRAMA</w:t>
      </w:r>
      <w:bookmarkEnd w:id="18"/>
    </w:p>
    <w:p w14:paraId="0AB786DC" w14:textId="77777777" w:rsidR="007E63A7" w:rsidRPr="00410280" w:rsidRDefault="007E63A7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1B7CC" w14:textId="06732B37" w:rsidR="007E63A7" w:rsidRPr="00410280" w:rsidRDefault="007E63A7" w:rsidP="00913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Osnovni ciljevi praćenja i izvještavanja o provedbi mjera provedbenog programa su:</w:t>
      </w:r>
    </w:p>
    <w:p w14:paraId="0184F4F7" w14:textId="3953A67A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sustavno praćenje uspješnosti provedbe ciljeva i mjera akata strateškog planiranja,</w:t>
      </w:r>
    </w:p>
    <w:p w14:paraId="64B651C3" w14:textId="28ADC4B8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učinkovito upravljanje provedbom akata strateškog planiranja i kontinuirano unapređivanje javne politike korištenjem rezultata praćenja i izvještavanja,</w:t>
      </w:r>
    </w:p>
    <w:p w14:paraId="416BA239" w14:textId="4EC2F7EB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pružanje pravovremenih i relevantnih osnova donositeljima odluka prilikom određivanja prioriteta razvojne politike, donošenja odluka na razini strateškog planiranja i reviziju akata strateškog planiranja kroz analizu učinka, ishoda i rezultata provedenih ciljeva i mjera,</w:t>
      </w:r>
    </w:p>
    <w:p w14:paraId="593B37BA" w14:textId="5D4F858A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utvrđivanje nenamjernih pozitivnih i negativnih posljedica provedbe planskih dokumenta,</w:t>
      </w:r>
    </w:p>
    <w:p w14:paraId="4FD5BE4D" w14:textId="19373278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povezivanje politike, programa, prioriteta, mjera i razvojnih projekata i</w:t>
      </w:r>
    </w:p>
    <w:p w14:paraId="5A875EA4" w14:textId="77777777" w:rsidR="007E63A7" w:rsidRPr="00410280" w:rsidRDefault="007E63A7" w:rsidP="00913A6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osiguranje transparentnosti i odgovornosti za korištenje javnih sredstava i izvještavanje javnosti o učincima potrošnje javnih sredstava. </w:t>
      </w:r>
    </w:p>
    <w:p w14:paraId="4E7651E2" w14:textId="07F4EF27" w:rsidR="007E63A7" w:rsidRPr="00410280" w:rsidRDefault="007E63A7" w:rsidP="00913A6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 xml:space="preserve">Pravilnikom o Strateškom planiranju definiran je sustav praćenja i izvještavanja o provedbi. Praćenje i izvještavanje temelji se na načelima strateškog planiranja i upravljanja razvojem iz Zakona o sustavu strateškog planiranja i upravljanja razvojem Republike Hrvatske (»Narodne novine«, br. 123/17). Polugodišnje i godišnje izvješće o provedbi provedbenih programa jedinica lokalne i područne (regionalne) samouprave je izvješće o napretku u provedbi mjera, aktivnosti i projekata te ostvarivanju pokazatelja rezultata iz kratkoročnih akata strateškog planiranja koje nositelj izrade provedbenog programa podnosi izvršnom tijelu jedinice lokalne ili područne (regionalne) samouprave dva puta godišnje. Izvještavanje o provedbi akta strateškog planiranja proces je pružanja pravovremenih i relevantnih informacija ključnim nositeljima strateškog planiranja na razini JLS te široj javnosti o statusu provedbe strateškog akta. Za provedbu ovoga Provedbenog programa te za praćenje i izvještavanje o provedbi nadležna je Općina Majur na čelu s Načelnicom kao odgovornom osobom. Načelnica će imenovati djelatnike Jedinstvenog upravnog odjela koji će biti odgovorni za koordinaciju provedbe u suradnji s imenovanom radnim tijelom. Na godišnjoj osnovi, krajem svake kalendarske godine, a najkasnije do 20. prosinca revidirat će se Provedbeni program Općine prema potrebama. </w:t>
      </w:r>
    </w:p>
    <w:p w14:paraId="2DB62B92" w14:textId="77777777" w:rsidR="007366E9" w:rsidRPr="00410280" w:rsidRDefault="007366E9" w:rsidP="00913A6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5C31A" w14:textId="0A19CC6A" w:rsidR="003C7CC6" w:rsidRPr="00410280" w:rsidRDefault="003C7CC6" w:rsidP="00913A64">
      <w:pPr>
        <w:shd w:val="clear" w:color="auto" w:fill="A8D08D" w:themeFill="accent6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8104E" w:rsidRPr="00410280">
        <w:rPr>
          <w:rFonts w:ascii="Times New Roman" w:hAnsi="Times New Roman" w:cs="Times New Roman"/>
          <w:sz w:val="24"/>
          <w:szCs w:val="24"/>
        </w:rPr>
        <w:t xml:space="preserve">ROKOVI ZA </w:t>
      </w:r>
      <w:r w:rsidR="007E63A7" w:rsidRPr="00410280">
        <w:rPr>
          <w:rFonts w:ascii="Times New Roman" w:hAnsi="Times New Roman" w:cs="Times New Roman"/>
          <w:sz w:val="24"/>
          <w:szCs w:val="24"/>
        </w:rPr>
        <w:t xml:space="preserve">IZVJEŠTAVANJE O PROVEDBI OPĆINE MAJUR: </w:t>
      </w:r>
    </w:p>
    <w:p w14:paraId="3420B42E" w14:textId="77777777" w:rsidR="003C7CC6" w:rsidRPr="00410280" w:rsidRDefault="007E63A7" w:rsidP="00913A64">
      <w:pPr>
        <w:shd w:val="clear" w:color="auto" w:fill="A8D08D" w:themeFill="accent6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polugodišnje do 20. srpnja tekuće godine</w:t>
      </w:r>
    </w:p>
    <w:p w14:paraId="2AA8C2BD" w14:textId="4E3A782A" w:rsidR="007E63A7" w:rsidRPr="00410280" w:rsidRDefault="007E63A7" w:rsidP="00913A64">
      <w:pPr>
        <w:shd w:val="clear" w:color="auto" w:fill="A8D08D" w:themeFill="accent6" w:themeFillTint="9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280">
        <w:rPr>
          <w:rFonts w:ascii="Times New Roman" w:hAnsi="Times New Roman" w:cs="Times New Roman"/>
          <w:sz w:val="24"/>
          <w:szCs w:val="24"/>
        </w:rPr>
        <w:t>godišnje do 20. siječnja naredne godine za prethodnu godinu</w:t>
      </w:r>
    </w:p>
    <w:sectPr w:rsidR="007E63A7" w:rsidRPr="00410280" w:rsidSect="00E616E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88AC" w14:textId="77777777" w:rsidR="003562FB" w:rsidRDefault="003562FB" w:rsidP="00325D0B">
      <w:pPr>
        <w:spacing w:after="0" w:line="240" w:lineRule="auto"/>
      </w:pPr>
      <w:r>
        <w:separator/>
      </w:r>
    </w:p>
  </w:endnote>
  <w:endnote w:type="continuationSeparator" w:id="0">
    <w:p w14:paraId="23CC27F2" w14:textId="77777777" w:rsidR="003562FB" w:rsidRDefault="003562FB" w:rsidP="003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71678"/>
      <w:docPartObj>
        <w:docPartGallery w:val="Page Numbers (Bottom of Page)"/>
        <w:docPartUnique/>
      </w:docPartObj>
    </w:sdtPr>
    <w:sdtContent>
      <w:p w14:paraId="5BA2F468" w14:textId="6402BAFB" w:rsidR="00913A64" w:rsidRDefault="00913A64" w:rsidP="00E22B3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82">
          <w:rPr>
            <w:noProof/>
          </w:rPr>
          <w:t>21</w:t>
        </w:r>
        <w:r>
          <w:fldChar w:fldCharType="end"/>
        </w:r>
      </w:p>
    </w:sdtContent>
  </w:sdt>
  <w:p w14:paraId="774BBF7F" w14:textId="77777777" w:rsidR="00913A64" w:rsidRDefault="00913A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54E8" w14:textId="77777777" w:rsidR="003562FB" w:rsidRDefault="003562FB" w:rsidP="00325D0B">
      <w:pPr>
        <w:spacing w:after="0" w:line="240" w:lineRule="auto"/>
      </w:pPr>
      <w:r>
        <w:separator/>
      </w:r>
    </w:p>
  </w:footnote>
  <w:footnote w:type="continuationSeparator" w:id="0">
    <w:p w14:paraId="493A8B8F" w14:textId="77777777" w:rsidR="003562FB" w:rsidRDefault="003562FB" w:rsidP="0032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F54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EE34B1"/>
    <w:multiLevelType w:val="hybridMultilevel"/>
    <w:tmpl w:val="6F1605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2AF"/>
    <w:multiLevelType w:val="hybridMultilevel"/>
    <w:tmpl w:val="FA3C95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C6F"/>
    <w:multiLevelType w:val="hybridMultilevel"/>
    <w:tmpl w:val="F41443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278A6"/>
    <w:multiLevelType w:val="hybridMultilevel"/>
    <w:tmpl w:val="71B0EA9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FED"/>
    <w:multiLevelType w:val="hybridMultilevel"/>
    <w:tmpl w:val="17F0CB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E51"/>
    <w:multiLevelType w:val="hybridMultilevel"/>
    <w:tmpl w:val="6FCE9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4B7"/>
    <w:multiLevelType w:val="hybridMultilevel"/>
    <w:tmpl w:val="1CC28C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4195"/>
    <w:multiLevelType w:val="multilevel"/>
    <w:tmpl w:val="0304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274DCD"/>
    <w:multiLevelType w:val="hybridMultilevel"/>
    <w:tmpl w:val="06566D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4735E"/>
    <w:multiLevelType w:val="hybridMultilevel"/>
    <w:tmpl w:val="F88E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8F8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E820576"/>
    <w:multiLevelType w:val="hybridMultilevel"/>
    <w:tmpl w:val="749AAE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52931"/>
    <w:multiLevelType w:val="hybridMultilevel"/>
    <w:tmpl w:val="00F641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5D18"/>
    <w:multiLevelType w:val="hybridMultilevel"/>
    <w:tmpl w:val="52AE5D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24363"/>
    <w:multiLevelType w:val="hybridMultilevel"/>
    <w:tmpl w:val="4F921F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2BF"/>
    <w:multiLevelType w:val="hybridMultilevel"/>
    <w:tmpl w:val="9F260B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2278"/>
    <w:multiLevelType w:val="hybridMultilevel"/>
    <w:tmpl w:val="0FF8D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E3B5D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5B56E6"/>
    <w:multiLevelType w:val="multilevel"/>
    <w:tmpl w:val="6E788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0"/>
  </w:num>
  <w:num w:numId="17">
    <w:abstractNumId w:val="19"/>
  </w:num>
  <w:num w:numId="18">
    <w:abstractNumId w:val="1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6"/>
    <w:rsid w:val="00002927"/>
    <w:rsid w:val="00010A4E"/>
    <w:rsid w:val="000119AA"/>
    <w:rsid w:val="00012065"/>
    <w:rsid w:val="000257B7"/>
    <w:rsid w:val="0003268D"/>
    <w:rsid w:val="000534D3"/>
    <w:rsid w:val="0006700E"/>
    <w:rsid w:val="00070F80"/>
    <w:rsid w:val="00082F52"/>
    <w:rsid w:val="000A1AFE"/>
    <w:rsid w:val="000C6494"/>
    <w:rsid w:val="000E26F1"/>
    <w:rsid w:val="001345BD"/>
    <w:rsid w:val="00142AA1"/>
    <w:rsid w:val="001545C0"/>
    <w:rsid w:val="00161DC9"/>
    <w:rsid w:val="00162D8A"/>
    <w:rsid w:val="00167622"/>
    <w:rsid w:val="0017117E"/>
    <w:rsid w:val="0018530F"/>
    <w:rsid w:val="00190399"/>
    <w:rsid w:val="0019513F"/>
    <w:rsid w:val="001A1EDF"/>
    <w:rsid w:val="001A794F"/>
    <w:rsid w:val="001B3794"/>
    <w:rsid w:val="001C2B74"/>
    <w:rsid w:val="001E2864"/>
    <w:rsid w:val="001E756B"/>
    <w:rsid w:val="001F5E28"/>
    <w:rsid w:val="00214849"/>
    <w:rsid w:val="00223996"/>
    <w:rsid w:val="00231AFC"/>
    <w:rsid w:val="00234DBC"/>
    <w:rsid w:val="00247CF9"/>
    <w:rsid w:val="00271EE7"/>
    <w:rsid w:val="00272422"/>
    <w:rsid w:val="00291271"/>
    <w:rsid w:val="002A206C"/>
    <w:rsid w:val="002A71AC"/>
    <w:rsid w:val="002B1B4B"/>
    <w:rsid w:val="002B3C56"/>
    <w:rsid w:val="002D2041"/>
    <w:rsid w:val="002D212E"/>
    <w:rsid w:val="002D53BD"/>
    <w:rsid w:val="003115AC"/>
    <w:rsid w:val="00312367"/>
    <w:rsid w:val="00325D0B"/>
    <w:rsid w:val="0033196B"/>
    <w:rsid w:val="003562FB"/>
    <w:rsid w:val="003811CC"/>
    <w:rsid w:val="003A7A09"/>
    <w:rsid w:val="003B3899"/>
    <w:rsid w:val="003C0635"/>
    <w:rsid w:val="003C7CC6"/>
    <w:rsid w:val="003D301D"/>
    <w:rsid w:val="003D6026"/>
    <w:rsid w:val="003D6179"/>
    <w:rsid w:val="003E2D0F"/>
    <w:rsid w:val="003F4406"/>
    <w:rsid w:val="003F73AC"/>
    <w:rsid w:val="00410280"/>
    <w:rsid w:val="00444097"/>
    <w:rsid w:val="00450DDA"/>
    <w:rsid w:val="00452D25"/>
    <w:rsid w:val="0045780A"/>
    <w:rsid w:val="0046462C"/>
    <w:rsid w:val="004708D2"/>
    <w:rsid w:val="004779AF"/>
    <w:rsid w:val="004A1E52"/>
    <w:rsid w:val="004A4A69"/>
    <w:rsid w:val="004D41B7"/>
    <w:rsid w:val="004D5E1C"/>
    <w:rsid w:val="004E0F1C"/>
    <w:rsid w:val="004E2B40"/>
    <w:rsid w:val="004F7EF3"/>
    <w:rsid w:val="00500461"/>
    <w:rsid w:val="005326F6"/>
    <w:rsid w:val="00537FA3"/>
    <w:rsid w:val="00550EDC"/>
    <w:rsid w:val="0056181E"/>
    <w:rsid w:val="00562610"/>
    <w:rsid w:val="00582721"/>
    <w:rsid w:val="0058412C"/>
    <w:rsid w:val="005850A4"/>
    <w:rsid w:val="005A7D81"/>
    <w:rsid w:val="005C2AFE"/>
    <w:rsid w:val="005C332C"/>
    <w:rsid w:val="005C6375"/>
    <w:rsid w:val="005C7446"/>
    <w:rsid w:val="005D18AC"/>
    <w:rsid w:val="005D7026"/>
    <w:rsid w:val="005E2CE2"/>
    <w:rsid w:val="005F393F"/>
    <w:rsid w:val="006020A0"/>
    <w:rsid w:val="006056F0"/>
    <w:rsid w:val="00607688"/>
    <w:rsid w:val="0062490F"/>
    <w:rsid w:val="0063006D"/>
    <w:rsid w:val="00644794"/>
    <w:rsid w:val="00654F72"/>
    <w:rsid w:val="00657CEF"/>
    <w:rsid w:val="00673EF0"/>
    <w:rsid w:val="00677CB1"/>
    <w:rsid w:val="00680207"/>
    <w:rsid w:val="00692B0A"/>
    <w:rsid w:val="006C1D93"/>
    <w:rsid w:val="006C3494"/>
    <w:rsid w:val="006D1996"/>
    <w:rsid w:val="006F31DC"/>
    <w:rsid w:val="0071092A"/>
    <w:rsid w:val="007177AD"/>
    <w:rsid w:val="007366E9"/>
    <w:rsid w:val="007431EA"/>
    <w:rsid w:val="00745D6D"/>
    <w:rsid w:val="00750CBC"/>
    <w:rsid w:val="0075375A"/>
    <w:rsid w:val="00780430"/>
    <w:rsid w:val="007A6053"/>
    <w:rsid w:val="007C3B01"/>
    <w:rsid w:val="007C578A"/>
    <w:rsid w:val="007D7CBA"/>
    <w:rsid w:val="007E63A7"/>
    <w:rsid w:val="007F698C"/>
    <w:rsid w:val="00803233"/>
    <w:rsid w:val="00803420"/>
    <w:rsid w:val="00806E65"/>
    <w:rsid w:val="00815B7E"/>
    <w:rsid w:val="00834ACE"/>
    <w:rsid w:val="00841CCF"/>
    <w:rsid w:val="00847538"/>
    <w:rsid w:val="008538F8"/>
    <w:rsid w:val="008711ED"/>
    <w:rsid w:val="00874378"/>
    <w:rsid w:val="00877E7D"/>
    <w:rsid w:val="008966D7"/>
    <w:rsid w:val="008C01E5"/>
    <w:rsid w:val="008C2485"/>
    <w:rsid w:val="008C2B0F"/>
    <w:rsid w:val="008C4525"/>
    <w:rsid w:val="008D133A"/>
    <w:rsid w:val="00913A64"/>
    <w:rsid w:val="00915FBB"/>
    <w:rsid w:val="00916856"/>
    <w:rsid w:val="009240CB"/>
    <w:rsid w:val="00930AAB"/>
    <w:rsid w:val="00951778"/>
    <w:rsid w:val="00952637"/>
    <w:rsid w:val="00966152"/>
    <w:rsid w:val="0098740D"/>
    <w:rsid w:val="0099281D"/>
    <w:rsid w:val="00992FFB"/>
    <w:rsid w:val="009B519A"/>
    <w:rsid w:val="009C56A9"/>
    <w:rsid w:val="009D0E95"/>
    <w:rsid w:val="009F605D"/>
    <w:rsid w:val="00A02F40"/>
    <w:rsid w:val="00A13B65"/>
    <w:rsid w:val="00A22C7C"/>
    <w:rsid w:val="00A33A9B"/>
    <w:rsid w:val="00A4040F"/>
    <w:rsid w:val="00A710B4"/>
    <w:rsid w:val="00A77A91"/>
    <w:rsid w:val="00A77B98"/>
    <w:rsid w:val="00A8104E"/>
    <w:rsid w:val="00A8339F"/>
    <w:rsid w:val="00A83670"/>
    <w:rsid w:val="00A9442B"/>
    <w:rsid w:val="00AA4052"/>
    <w:rsid w:val="00AA427C"/>
    <w:rsid w:val="00AA7AB3"/>
    <w:rsid w:val="00AB3908"/>
    <w:rsid w:val="00AF5576"/>
    <w:rsid w:val="00B14A0A"/>
    <w:rsid w:val="00B220C0"/>
    <w:rsid w:val="00B31155"/>
    <w:rsid w:val="00B35BB9"/>
    <w:rsid w:val="00B4239D"/>
    <w:rsid w:val="00B535EE"/>
    <w:rsid w:val="00B66282"/>
    <w:rsid w:val="00B70FB5"/>
    <w:rsid w:val="00B90741"/>
    <w:rsid w:val="00B9529F"/>
    <w:rsid w:val="00B9552C"/>
    <w:rsid w:val="00B97895"/>
    <w:rsid w:val="00BE39E6"/>
    <w:rsid w:val="00C01609"/>
    <w:rsid w:val="00C170BA"/>
    <w:rsid w:val="00C561A9"/>
    <w:rsid w:val="00C5791B"/>
    <w:rsid w:val="00C90C0E"/>
    <w:rsid w:val="00C960A9"/>
    <w:rsid w:val="00CA6317"/>
    <w:rsid w:val="00CC6CAE"/>
    <w:rsid w:val="00CD769D"/>
    <w:rsid w:val="00CF0196"/>
    <w:rsid w:val="00CF1AB8"/>
    <w:rsid w:val="00D01DB3"/>
    <w:rsid w:val="00D24306"/>
    <w:rsid w:val="00D256C1"/>
    <w:rsid w:val="00D423C6"/>
    <w:rsid w:val="00D615ED"/>
    <w:rsid w:val="00D6274A"/>
    <w:rsid w:val="00D7253C"/>
    <w:rsid w:val="00D76492"/>
    <w:rsid w:val="00D829AB"/>
    <w:rsid w:val="00D86AFD"/>
    <w:rsid w:val="00D9046F"/>
    <w:rsid w:val="00D90D6F"/>
    <w:rsid w:val="00DA59DF"/>
    <w:rsid w:val="00DA79A9"/>
    <w:rsid w:val="00DB6CD6"/>
    <w:rsid w:val="00DD5576"/>
    <w:rsid w:val="00DE0DE1"/>
    <w:rsid w:val="00DF2393"/>
    <w:rsid w:val="00E03248"/>
    <w:rsid w:val="00E0746F"/>
    <w:rsid w:val="00E143E1"/>
    <w:rsid w:val="00E2140F"/>
    <w:rsid w:val="00E22B3D"/>
    <w:rsid w:val="00E31445"/>
    <w:rsid w:val="00E32010"/>
    <w:rsid w:val="00E41BF0"/>
    <w:rsid w:val="00E42DF4"/>
    <w:rsid w:val="00E43934"/>
    <w:rsid w:val="00E4450E"/>
    <w:rsid w:val="00E448F6"/>
    <w:rsid w:val="00E5116A"/>
    <w:rsid w:val="00E56548"/>
    <w:rsid w:val="00E616EB"/>
    <w:rsid w:val="00E7220E"/>
    <w:rsid w:val="00E86A02"/>
    <w:rsid w:val="00EA7EE5"/>
    <w:rsid w:val="00EB4D0A"/>
    <w:rsid w:val="00ED298C"/>
    <w:rsid w:val="00EE02DB"/>
    <w:rsid w:val="00EF1F0F"/>
    <w:rsid w:val="00EF383A"/>
    <w:rsid w:val="00F01E6C"/>
    <w:rsid w:val="00F10145"/>
    <w:rsid w:val="00F125DC"/>
    <w:rsid w:val="00F128D8"/>
    <w:rsid w:val="00F26A80"/>
    <w:rsid w:val="00F41179"/>
    <w:rsid w:val="00F477DF"/>
    <w:rsid w:val="00F61ABB"/>
    <w:rsid w:val="00F800E0"/>
    <w:rsid w:val="00F8213D"/>
    <w:rsid w:val="00F94BBB"/>
    <w:rsid w:val="00FA2761"/>
    <w:rsid w:val="00FA74AD"/>
    <w:rsid w:val="00FD5D59"/>
    <w:rsid w:val="00FD5EB5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4FA"/>
  <w15:chartTrackingRefBased/>
  <w15:docId w15:val="{9BAA80A1-E6B9-41A0-A990-2E075FD8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C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6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D0B"/>
  </w:style>
  <w:style w:type="paragraph" w:styleId="Podnoje">
    <w:name w:val="footer"/>
    <w:basedOn w:val="Normal"/>
    <w:link w:val="PodnojeChar"/>
    <w:uiPriority w:val="99"/>
    <w:unhideWhenUsed/>
    <w:rsid w:val="0032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D0B"/>
  </w:style>
  <w:style w:type="character" w:styleId="Hiperveza">
    <w:name w:val="Hyperlink"/>
    <w:basedOn w:val="Zadanifontodlomka"/>
    <w:uiPriority w:val="99"/>
    <w:unhideWhenUsed/>
    <w:rsid w:val="00E42D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DF4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3C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9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92B0A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B535EE"/>
    <w:pPr>
      <w:tabs>
        <w:tab w:val="left" w:pos="660"/>
        <w:tab w:val="right" w:leader="dot" w:pos="9062"/>
      </w:tabs>
      <w:spacing w:after="100"/>
      <w:ind w:left="709" w:hanging="4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avjetovanja.gov.hr/ECon/MainScreen?entityId=1722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avjetovanja.gov.hr/ECon/MainScreen?entityId=17226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A3CC-4065-4C20-8FF6-27EE79C3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29</Pages>
  <Words>4870</Words>
  <Characters>27759</Characters>
  <Application>Microsoft Office Word</Application>
  <DocSecurity>0</DocSecurity>
  <Lines>231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Općina Majur</cp:lastModifiedBy>
  <cp:revision>46</cp:revision>
  <dcterms:created xsi:type="dcterms:W3CDTF">2021-12-28T22:38:00Z</dcterms:created>
  <dcterms:modified xsi:type="dcterms:W3CDTF">2021-12-31T10:04:00Z</dcterms:modified>
</cp:coreProperties>
</file>