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C7" w:rsidRPr="007136C7" w:rsidRDefault="007136C7" w:rsidP="007136C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 w:val="40"/>
          <w:szCs w:val="40"/>
          <w:lang w:eastAsia="hr-HR"/>
        </w:rPr>
      </w:pPr>
      <w:r w:rsidRPr="007136C7">
        <w:rPr>
          <w:rFonts w:eastAsia="Times New Roman" w:cs="Times New Roman"/>
          <w:b/>
          <w:bCs/>
          <w:color w:val="000000"/>
          <w:sz w:val="40"/>
          <w:szCs w:val="40"/>
          <w:lang w:eastAsia="hr-HR"/>
        </w:rPr>
        <w:t>VLADA REPUBLIKE HRVATSKE</w:t>
      </w:r>
    </w:p>
    <w:p w:rsidR="007136C7" w:rsidRPr="007136C7" w:rsidRDefault="007136C7" w:rsidP="007136C7">
      <w:pPr>
        <w:spacing w:before="100" w:beforeAutospacing="1" w:after="100" w:afterAutospacing="1"/>
        <w:jc w:val="right"/>
        <w:rPr>
          <w:rFonts w:eastAsia="Times New Roman" w:cs="Times New Roman"/>
          <w:b/>
          <w:bCs/>
          <w:color w:val="000000"/>
          <w:sz w:val="26"/>
          <w:szCs w:val="26"/>
          <w:lang w:eastAsia="hr-HR"/>
        </w:rPr>
      </w:pPr>
      <w:r w:rsidRPr="007136C7">
        <w:rPr>
          <w:rFonts w:eastAsia="Times New Roman" w:cs="Times New Roman"/>
          <w:b/>
          <w:bCs/>
          <w:color w:val="000000"/>
          <w:sz w:val="26"/>
          <w:szCs w:val="26"/>
          <w:lang w:eastAsia="hr-HR"/>
        </w:rPr>
        <w:t>720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Na temelju članka 30. stavka 3. Zakona o Vladi Republike Hrvatske (»Narodne novine«, br. 101/98, 15/2000, 117/2001, 199/2003, 30/2004 i 77/2009), a u vezi s člankom 20. stavkom 1. točkom 4. Zakona o pravu na pristup informacijama (»Narodne novine«, br. 172/2003 i 144/2010), Vlada Republike Hrvatske je na sjednici održanoj 17. ožujka 2011. godine donijela</w:t>
      </w:r>
    </w:p>
    <w:p w:rsidR="007136C7" w:rsidRPr="007136C7" w:rsidRDefault="007136C7" w:rsidP="007136C7">
      <w:pPr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hr-HR"/>
        </w:rPr>
      </w:pPr>
      <w:r w:rsidRPr="007136C7">
        <w:rPr>
          <w:rFonts w:eastAsia="Times New Roman" w:cs="Times New Roman"/>
          <w:b/>
          <w:bCs/>
          <w:color w:val="000000"/>
          <w:sz w:val="36"/>
          <w:szCs w:val="36"/>
          <w:lang w:eastAsia="hr-HR"/>
        </w:rPr>
        <w:t>ZAKLJUČAK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1. Zadužuju se sva tijela javne vlasti, koja to svojstvo imaju prema odredbi članka 3. stavka 1. točke 2. Zakona o pravu na pristup informacijama, a koja su dužna postupati prema Zakonu o javnoj nabavi (Narodne novine, br. 110/2007 i 125/2008), da dosljedno i ažurno postupaju prema odredbi članka 20. stavka 1. točke 4. Zakona o pravu na pristup informacijama na način utvrđen ovim Zaključkom.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2. Tijelo javne vlasti dužno je podatke o sklapanju i izvršavanju ugovora o javnoj nabavi iz svoje nadležnosti iskazati prema obrascu Pregled sklopljenih ugovora o javnoj nabavi i njihovog izvršenja (u daljnjem tekstu: Pregled ugovora), koji je u prilogu ovoga Zaključka i čini njegov sastavni dio.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3. Tijelo javne vlasti dužno je Pregled ugovora ustrojiti i objaviti na svojim internetskim stranicama u roku 20 dana od dana objave ovoga Zaključka, prema obrascu iz točke 2. ovoga Zaključka.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4. Prva objava Pregleda ugovora mora sadržavati podatke za ugovore koji su izvršeni u 2010. godini i zatim redom kronološki, kako su ugovori sklapani u 2010. godini.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5. Tijelo javne vlasti dužno je podatke iz Pregleda ugovora ažurirati svakih šest mjeseci.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 xml:space="preserve">6. Tijelo javne vlasti dužno je podatke o internetskim stranicama, na kojima je objavljen Pregled ugovora, dostaviti Agenciji za zaštitu osobnih podataka, u roku 20 dana od dana objave ovoga Zaključka. Ovi podaci dostavljaju se putem elektroničke pošte na adresu: </w:t>
      </w:r>
      <w:proofErr w:type="spellStart"/>
      <w:r w:rsidRPr="007136C7">
        <w:rPr>
          <w:rFonts w:eastAsia="Times New Roman" w:cs="Times New Roman"/>
          <w:color w:val="000000"/>
          <w:szCs w:val="24"/>
          <w:lang w:eastAsia="hr-HR"/>
        </w:rPr>
        <w:t>javnab</w:t>
      </w:r>
      <w:proofErr w:type="spellEnd"/>
      <w:r w:rsidRPr="007136C7">
        <w:rPr>
          <w:rFonts w:eastAsia="Times New Roman" w:cs="Times New Roman"/>
          <w:color w:val="000000"/>
          <w:szCs w:val="24"/>
          <w:lang w:eastAsia="hr-HR"/>
        </w:rPr>
        <w:t>@</w:t>
      </w:r>
      <w:proofErr w:type="spellStart"/>
      <w:r w:rsidRPr="007136C7">
        <w:rPr>
          <w:rFonts w:eastAsia="Times New Roman" w:cs="Times New Roman"/>
          <w:color w:val="000000"/>
          <w:szCs w:val="24"/>
          <w:lang w:eastAsia="hr-HR"/>
        </w:rPr>
        <w:t>azop.hr</w:t>
      </w:r>
      <w:proofErr w:type="spellEnd"/>
      <w:r w:rsidRPr="007136C7">
        <w:rPr>
          <w:rFonts w:eastAsia="Times New Roman" w:cs="Times New Roman"/>
          <w:color w:val="000000"/>
          <w:szCs w:val="24"/>
          <w:lang w:eastAsia="hr-HR"/>
        </w:rPr>
        <w:t>.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7. Tijelo javne vlasti dužno je podatke o ustrojavanju i vođenju Pregleda ugovora, te podatke o internetskim stranicama na kojima se objavljuje Pregled ugovora, uvrstiti i u Izvješće o provedbi Zakona o pravu na pristup informacijama, koje se izrađuje sukladno članku 25. toga Zakona.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lastRenderedPageBreak/>
        <w:t>8. Ukoliko tijelo javne vlasti ne raspolaže internetskim stranicama, Pregled ugovora će izraditi i voditi na drugom informatičkom mediju te će, sukladno točki 6. ovoga Zaključka, o tome izvijestiti Agenciju za zaštitu osobnih podataka, radi uvida u Pregled ugovora na tom informatičkom mediju.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9. Zadužuje se Agencija za zaštitu osobnih podataka da do 5. svibnja 2011. godine izvijesti Vladu Republike Hrvatske o provedbi ovoga Zaključka.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10. Ovaj Zaključak objavit će se u »Narodnim novinama«.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Klasa: 330-01/11-02/01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proofErr w:type="spellStart"/>
      <w:r w:rsidRPr="007136C7">
        <w:rPr>
          <w:rFonts w:eastAsia="Times New Roman" w:cs="Times New Roman"/>
          <w:color w:val="000000"/>
          <w:szCs w:val="24"/>
          <w:lang w:eastAsia="hr-HR"/>
        </w:rPr>
        <w:t>Urbroj</w:t>
      </w:r>
      <w:proofErr w:type="spellEnd"/>
      <w:r w:rsidRPr="007136C7">
        <w:rPr>
          <w:rFonts w:eastAsia="Times New Roman" w:cs="Times New Roman"/>
          <w:color w:val="000000"/>
          <w:szCs w:val="24"/>
          <w:lang w:eastAsia="hr-HR"/>
        </w:rPr>
        <w:t xml:space="preserve">: </w:t>
      </w:r>
      <w:proofErr w:type="spellStart"/>
      <w:r w:rsidRPr="007136C7">
        <w:rPr>
          <w:rFonts w:eastAsia="Times New Roman" w:cs="Times New Roman"/>
          <w:color w:val="000000"/>
          <w:szCs w:val="24"/>
          <w:lang w:eastAsia="hr-HR"/>
        </w:rPr>
        <w:t>5030106</w:t>
      </w:r>
      <w:proofErr w:type="spellEnd"/>
      <w:r w:rsidRPr="007136C7">
        <w:rPr>
          <w:rFonts w:eastAsia="Times New Roman" w:cs="Times New Roman"/>
          <w:color w:val="000000"/>
          <w:szCs w:val="24"/>
          <w:lang w:eastAsia="hr-HR"/>
        </w:rPr>
        <w:t>-</w:t>
      </w:r>
      <w:proofErr w:type="spellStart"/>
      <w:r w:rsidRPr="007136C7">
        <w:rPr>
          <w:rFonts w:eastAsia="Times New Roman" w:cs="Times New Roman"/>
          <w:color w:val="000000"/>
          <w:szCs w:val="24"/>
          <w:lang w:eastAsia="hr-HR"/>
        </w:rPr>
        <w:t>11</w:t>
      </w:r>
      <w:proofErr w:type="spellEnd"/>
      <w:r w:rsidRPr="007136C7">
        <w:rPr>
          <w:rFonts w:eastAsia="Times New Roman" w:cs="Times New Roman"/>
          <w:color w:val="000000"/>
          <w:szCs w:val="24"/>
          <w:lang w:eastAsia="hr-HR"/>
        </w:rPr>
        <w:t>-2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Zagreb, 17. ožujka 2011.</w:t>
      </w:r>
    </w:p>
    <w:p w:rsidR="00527FC6" w:rsidRDefault="007136C7" w:rsidP="007136C7">
      <w:pPr>
        <w:spacing w:before="100" w:beforeAutospacing="1" w:after="100" w:afterAutospacing="1"/>
        <w:ind w:left="7344"/>
        <w:jc w:val="center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Predsjednica</w:t>
      </w:r>
      <w:r w:rsidRPr="007136C7">
        <w:rPr>
          <w:rFonts w:eastAsia="Times New Roman" w:cs="Times New Roman"/>
          <w:color w:val="000000"/>
          <w:szCs w:val="24"/>
          <w:lang w:eastAsia="hr-HR"/>
        </w:rPr>
        <w:br/>
      </w:r>
      <w:r w:rsidRPr="007136C7">
        <w:rPr>
          <w:rFonts w:eastAsia="Times New Roman" w:cs="Times New Roman"/>
          <w:b/>
          <w:bCs/>
          <w:color w:val="000000"/>
          <w:szCs w:val="24"/>
          <w:lang w:eastAsia="hr-HR"/>
        </w:rPr>
        <w:t>Jadranka Kosor, dipl. iur.,</w:t>
      </w:r>
      <w:r w:rsidRPr="007136C7">
        <w:rPr>
          <w:rFonts w:eastAsia="Times New Roman" w:cs="Times New Roman"/>
          <w:color w:val="000000"/>
          <w:szCs w:val="24"/>
          <w:lang w:eastAsia="hr-HR"/>
        </w:rPr>
        <w:t xml:space="preserve"> </w:t>
      </w:r>
    </w:p>
    <w:p w:rsidR="00527FC6" w:rsidRDefault="00527FC6" w:rsidP="007136C7">
      <w:pPr>
        <w:spacing w:before="100" w:beforeAutospacing="1" w:after="100" w:afterAutospacing="1"/>
        <w:ind w:left="7344"/>
        <w:jc w:val="center"/>
        <w:rPr>
          <w:rFonts w:eastAsia="Times New Roman" w:cs="Times New Roman"/>
          <w:color w:val="000000"/>
          <w:szCs w:val="24"/>
          <w:lang w:eastAsia="hr-HR"/>
        </w:rPr>
      </w:pPr>
    </w:p>
    <w:p w:rsidR="00527FC6" w:rsidRDefault="00527FC6" w:rsidP="007136C7">
      <w:pPr>
        <w:spacing w:before="100" w:beforeAutospacing="1" w:after="100" w:afterAutospacing="1"/>
        <w:ind w:left="7344"/>
        <w:jc w:val="center"/>
        <w:rPr>
          <w:rFonts w:eastAsia="Times New Roman" w:cs="Times New Roman"/>
          <w:color w:val="000000"/>
          <w:szCs w:val="24"/>
          <w:lang w:eastAsia="hr-HR"/>
        </w:rPr>
      </w:pPr>
    </w:p>
    <w:p w:rsidR="00527FC6" w:rsidRDefault="00527FC6" w:rsidP="007136C7">
      <w:pPr>
        <w:spacing w:before="100" w:beforeAutospacing="1" w:after="100" w:afterAutospacing="1"/>
        <w:ind w:left="7344"/>
        <w:jc w:val="center"/>
        <w:rPr>
          <w:rFonts w:eastAsia="Times New Roman" w:cs="Times New Roman"/>
          <w:color w:val="000000"/>
          <w:szCs w:val="24"/>
          <w:lang w:eastAsia="hr-HR"/>
        </w:rPr>
      </w:pPr>
    </w:p>
    <w:p w:rsidR="00527FC6" w:rsidRDefault="00527FC6" w:rsidP="007136C7">
      <w:pPr>
        <w:spacing w:before="100" w:beforeAutospacing="1" w:after="100" w:afterAutospacing="1"/>
        <w:ind w:left="7344"/>
        <w:jc w:val="center"/>
        <w:rPr>
          <w:rFonts w:eastAsia="Times New Roman" w:cs="Times New Roman"/>
          <w:color w:val="000000"/>
          <w:szCs w:val="24"/>
          <w:lang w:eastAsia="hr-HR"/>
        </w:rPr>
      </w:pPr>
    </w:p>
    <w:p w:rsidR="00527FC6" w:rsidRDefault="00527FC6" w:rsidP="007136C7">
      <w:pPr>
        <w:spacing w:before="100" w:beforeAutospacing="1" w:after="100" w:afterAutospacing="1"/>
        <w:ind w:left="7344"/>
        <w:jc w:val="center"/>
        <w:rPr>
          <w:rFonts w:eastAsia="Times New Roman" w:cs="Times New Roman"/>
          <w:color w:val="000000"/>
          <w:szCs w:val="24"/>
          <w:lang w:eastAsia="hr-HR"/>
        </w:rPr>
      </w:pPr>
    </w:p>
    <w:p w:rsidR="00527FC6" w:rsidRDefault="00527FC6" w:rsidP="007136C7">
      <w:pPr>
        <w:spacing w:before="100" w:beforeAutospacing="1" w:after="100" w:afterAutospacing="1"/>
        <w:ind w:left="7344"/>
        <w:jc w:val="center"/>
        <w:rPr>
          <w:rFonts w:eastAsia="Times New Roman" w:cs="Times New Roman"/>
          <w:color w:val="000000"/>
          <w:szCs w:val="24"/>
          <w:lang w:eastAsia="hr-HR"/>
        </w:rPr>
      </w:pPr>
    </w:p>
    <w:p w:rsidR="00A36887" w:rsidRDefault="00A3688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lastRenderedPageBreak/>
        <w:t xml:space="preserve">Obrazac 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Pregled sklopljenih ugovora o javnoj nabavi i njihovog izvršenja</w:t>
      </w: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 xml:space="preserve">I) Ugovori o javnoj nabavi </w:t>
      </w:r>
    </w:p>
    <w:tbl>
      <w:tblPr>
        <w:tblW w:w="142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417"/>
        <w:gridCol w:w="1559"/>
        <w:gridCol w:w="1560"/>
        <w:gridCol w:w="1559"/>
        <w:gridCol w:w="1559"/>
        <w:gridCol w:w="2268"/>
        <w:gridCol w:w="1843"/>
        <w:gridCol w:w="1984"/>
      </w:tblGrid>
      <w:tr w:rsidR="00527FC6" w:rsidRPr="007136C7" w:rsidTr="00A36887">
        <w:trPr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Rd</w:t>
            </w:r>
            <w:proofErr w:type="spellEnd"/>
            <w:r w:rsidR="007136C7"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br</w:t>
            </w: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3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Evidencijski broj nabave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Vrsta provedenog postupka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Datum sklapanja ugovora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Iznos sklopljenog ugovora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Razdoblje na koje je sklopljen ugovor</w:t>
            </w:r>
          </w:p>
        </w:tc>
        <w:tc>
          <w:tcPr>
            <w:tcW w:w="2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Naziv ponuditelja s kojima je sklopljen ugovor</w:t>
            </w:r>
          </w:p>
        </w:tc>
        <w:tc>
          <w:tcPr>
            <w:tcW w:w="1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Datum konačnog izvršenja ugovora</w:t>
            </w:r>
          </w:p>
        </w:tc>
        <w:tc>
          <w:tcPr>
            <w:tcW w:w="19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Konačni ukupni iznos plaćen temeljem ugovora</w:t>
            </w:r>
          </w:p>
        </w:tc>
      </w:tr>
      <w:tr w:rsidR="00527FC6" w:rsidRPr="007136C7" w:rsidTr="00A36887">
        <w:trPr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3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1/2010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otvoreni postupak male vrijednosti</w:t>
            </w:r>
            <w:r w:rsidR="00110822"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11.05.2009.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349.335,29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FC6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30 dana</w:t>
            </w:r>
          </w:p>
        </w:tc>
        <w:tc>
          <w:tcPr>
            <w:tcW w:w="2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TVIM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 d.o.o.</w:t>
            </w:r>
          </w:p>
          <w:p w:rsidR="00527FC6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Dužica</w:t>
            </w:r>
          </w:p>
        </w:tc>
        <w:tc>
          <w:tcPr>
            <w:tcW w:w="1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7FC6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30.06.2010.</w:t>
            </w:r>
          </w:p>
        </w:tc>
        <w:tc>
          <w:tcPr>
            <w:tcW w:w="19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527FC6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348.338,10</w:t>
            </w:r>
          </w:p>
        </w:tc>
      </w:tr>
      <w:tr w:rsidR="00423D98" w:rsidTr="00423D98">
        <w:trPr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13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1/2011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otvoreni postupak male vrijednosti 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17.10.2011.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P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23D98">
              <w:rPr>
                <w:rFonts w:eastAsia="Times New Roman" w:cs="Times New Roman"/>
                <w:color w:val="000000"/>
                <w:szCs w:val="24"/>
                <w:lang w:eastAsia="hr-HR"/>
              </w:rPr>
              <w:t>229.482,10</w:t>
            </w:r>
          </w:p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23D98">
              <w:rPr>
                <w:rFonts w:eastAsia="Times New Roman" w:cs="Times New Roman"/>
                <w:color w:val="000000"/>
                <w:szCs w:val="24"/>
                <w:lang w:eastAsia="hr-HR"/>
              </w:rPr>
              <w:t>(bez PDV-a)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60 dana</w:t>
            </w:r>
          </w:p>
        </w:tc>
        <w:tc>
          <w:tcPr>
            <w:tcW w:w="2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GRADITELJSTVO DIV d.o.o.</w:t>
            </w:r>
          </w:p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Ulica Lipa 30, Sisak</w:t>
            </w:r>
          </w:p>
        </w:tc>
        <w:tc>
          <w:tcPr>
            <w:tcW w:w="1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29.12.2011.</w:t>
            </w:r>
          </w:p>
        </w:tc>
        <w:tc>
          <w:tcPr>
            <w:tcW w:w="19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228.511,38</w:t>
            </w:r>
          </w:p>
        </w:tc>
      </w:tr>
      <w:tr w:rsidR="00423D98" w:rsidTr="00423D98">
        <w:trPr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  <w:p w:rsidR="00423D98" w:rsidRDefault="00423D9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3.</w:t>
            </w:r>
          </w:p>
          <w:p w:rsidR="00423D98" w:rsidRDefault="00423D98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3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2/2011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 xml:space="preserve">otvoreni postupak male vrijednosti 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24.10.2011.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P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23D98">
              <w:rPr>
                <w:rFonts w:eastAsia="Times New Roman" w:cs="Times New Roman"/>
                <w:color w:val="000000"/>
                <w:szCs w:val="24"/>
                <w:lang w:eastAsia="hr-HR"/>
              </w:rPr>
              <w:t>121.720,00</w:t>
            </w:r>
          </w:p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23D98">
              <w:rPr>
                <w:rFonts w:eastAsia="Times New Roman" w:cs="Times New Roman"/>
                <w:color w:val="000000"/>
                <w:szCs w:val="24"/>
                <w:lang w:eastAsia="hr-HR"/>
              </w:rPr>
              <w:t>(bez PDV-a)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7 dana</w:t>
            </w:r>
          </w:p>
        </w:tc>
        <w:tc>
          <w:tcPr>
            <w:tcW w:w="2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423D98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423D98">
              <w:rPr>
                <w:rFonts w:eastAsia="Times New Roman" w:cs="Times New Roman"/>
                <w:color w:val="000000"/>
                <w:szCs w:val="24"/>
                <w:lang w:eastAsia="hr-HR"/>
              </w:rPr>
              <w:t>ELEKTRO CENTAR PETEKd.o.o.  Etanska cesta 8, IVANIĆ  GRAD</w:t>
            </w:r>
          </w:p>
        </w:tc>
        <w:tc>
          <w:tcPr>
            <w:tcW w:w="1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C507D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/</w:t>
            </w:r>
          </w:p>
        </w:tc>
        <w:tc>
          <w:tcPr>
            <w:tcW w:w="19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3D98" w:rsidRDefault="00C507D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hr-HR"/>
              </w:rPr>
              <w:t>/</w:t>
            </w:r>
          </w:p>
        </w:tc>
      </w:tr>
      <w:tr w:rsidR="00C507D7" w:rsidRPr="007136C7" w:rsidTr="00BB501B">
        <w:trPr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7D7" w:rsidRPr="007136C7" w:rsidRDefault="00C507D7" w:rsidP="00BB501B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4</w:t>
            </w:r>
            <w:r w:rsidRPr="007136C7">
              <w:rPr>
                <w:rFonts w:eastAsia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3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7D7" w:rsidRPr="007136C7" w:rsidRDefault="00C507D7" w:rsidP="00BB501B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1/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2012</w:t>
            </w:r>
            <w:proofErr w:type="spellEnd"/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7D7" w:rsidRPr="007136C7" w:rsidRDefault="00C507D7" w:rsidP="00BB501B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otvoreni postupak male vrijednosti 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7D7" w:rsidRPr="007136C7" w:rsidRDefault="00C507D7" w:rsidP="00BB501B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06.06.2012.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7D7" w:rsidRDefault="00C507D7" w:rsidP="00BB501B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94.907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>,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00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(bez PDV-a)</w:t>
            </w:r>
          </w:p>
          <w:p w:rsidR="00C507D7" w:rsidRDefault="00C507D7" w:rsidP="00BB501B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</w:p>
          <w:p w:rsidR="00C507D7" w:rsidRDefault="00C507D7" w:rsidP="00BB501B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118.633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>,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75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kn</w:t>
            </w:r>
          </w:p>
          <w:p w:rsidR="00C507D7" w:rsidRPr="007136C7" w:rsidRDefault="00C507D7" w:rsidP="00BB501B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(sa PDV-om)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7D7" w:rsidRPr="007136C7" w:rsidRDefault="00C507D7" w:rsidP="00BB501B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30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dana</w:t>
            </w:r>
          </w:p>
        </w:tc>
        <w:tc>
          <w:tcPr>
            <w:tcW w:w="2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7D7" w:rsidRPr="007136C7" w:rsidRDefault="00C507D7" w:rsidP="00BB501B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„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MMK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“ usluge graditeljstva i građevinski strojevi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Bročice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, Sv. Mihovila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208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44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330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Novska</w:t>
            </w:r>
          </w:p>
        </w:tc>
        <w:tc>
          <w:tcPr>
            <w:tcW w:w="1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7D7" w:rsidRPr="007136C7" w:rsidRDefault="00C507D7" w:rsidP="00BB501B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31.07.2012.</w:t>
            </w:r>
          </w:p>
        </w:tc>
        <w:tc>
          <w:tcPr>
            <w:tcW w:w="19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507D7" w:rsidRDefault="00C507D7" w:rsidP="00BB501B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94.431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>,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09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        (bez PDV-a) </w:t>
            </w:r>
          </w:p>
          <w:p w:rsidR="00C507D7" w:rsidRDefault="00C507D7" w:rsidP="00BB501B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</w:p>
          <w:p w:rsidR="00C507D7" w:rsidRDefault="00C507D7" w:rsidP="00BB501B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118.038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>,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86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kn</w:t>
            </w:r>
          </w:p>
          <w:p w:rsidR="00C507D7" w:rsidRPr="007136C7" w:rsidRDefault="00C507D7" w:rsidP="00BB501B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(sa PDV-om)</w:t>
            </w:r>
          </w:p>
        </w:tc>
      </w:tr>
      <w:tr w:rsidR="004B4714" w:rsidRPr="007136C7" w:rsidTr="004B4714">
        <w:trPr>
          <w:tblCellSpacing w:w="15" w:type="dxa"/>
        </w:trPr>
        <w:tc>
          <w:tcPr>
            <w:tcW w:w="4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4714" w:rsidRPr="007136C7" w:rsidRDefault="004B4714" w:rsidP="001C6693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5</w:t>
            </w:r>
            <w:r w:rsidRPr="007136C7">
              <w:rPr>
                <w:rFonts w:eastAsia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3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4714" w:rsidRPr="007136C7" w:rsidRDefault="004B4714" w:rsidP="001C6693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1/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2013</w:t>
            </w:r>
            <w:proofErr w:type="spellEnd"/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4714" w:rsidRPr="007136C7" w:rsidRDefault="004B4714" w:rsidP="001C6693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otvoreni postupak male </w:t>
            </w:r>
            <w:r>
              <w:rPr>
                <w:rFonts w:eastAsia="Times New Roman"/>
                <w:color w:val="000000"/>
                <w:szCs w:val="24"/>
                <w:lang w:eastAsia="hr-HR"/>
              </w:rPr>
              <w:lastRenderedPageBreak/>
              <w:t xml:space="preserve">vrijednosti </w:t>
            </w:r>
          </w:p>
        </w:tc>
        <w:tc>
          <w:tcPr>
            <w:tcW w:w="15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4714" w:rsidRPr="004B4714" w:rsidRDefault="004B4714" w:rsidP="001C6693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r w:rsidRPr="004B4714">
              <w:rPr>
                <w:rFonts w:eastAsia="Times New Roman"/>
                <w:color w:val="000000"/>
                <w:szCs w:val="24"/>
                <w:lang w:eastAsia="hr-HR"/>
              </w:rPr>
              <w:lastRenderedPageBreak/>
              <w:t>29.07.2013.</w:t>
            </w:r>
          </w:p>
          <w:p w:rsidR="004B4714" w:rsidRPr="006E54BB" w:rsidRDefault="004B4714" w:rsidP="001C6693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(Izrada </w:t>
            </w:r>
            <w:r>
              <w:rPr>
                <w:rFonts w:eastAsia="Times New Roman"/>
                <w:color w:val="000000"/>
                <w:szCs w:val="24"/>
                <w:lang w:eastAsia="hr-HR"/>
              </w:rPr>
              <w:lastRenderedPageBreak/>
              <w:t>projektne dokumentacije za pješačku stazu Gornji Hrastovac)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4714" w:rsidRDefault="004B4714" w:rsidP="001C6693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lastRenderedPageBreak/>
              <w:t>52.200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>,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00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kn (bez PDV-a)</w:t>
            </w:r>
          </w:p>
          <w:p w:rsidR="004B4714" w:rsidRDefault="004B4714" w:rsidP="001C6693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</w:p>
          <w:p w:rsidR="004B4714" w:rsidRDefault="004B4714" w:rsidP="001C6693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65.250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>,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00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 kn</w:t>
            </w:r>
          </w:p>
          <w:p w:rsidR="004B4714" w:rsidRPr="007136C7" w:rsidRDefault="004B4714" w:rsidP="001C6693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>(sa PDV-om)</w:t>
            </w:r>
          </w:p>
        </w:tc>
        <w:tc>
          <w:tcPr>
            <w:tcW w:w="152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4714" w:rsidRPr="007136C7" w:rsidRDefault="004B4714" w:rsidP="001C6693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lastRenderedPageBreak/>
              <w:t>4 mjeseca</w:t>
            </w:r>
          </w:p>
        </w:tc>
        <w:tc>
          <w:tcPr>
            <w:tcW w:w="223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4714" w:rsidRPr="007136C7" w:rsidRDefault="004B4714" w:rsidP="001C6693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Zajednica ponuditelja: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PGT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lastRenderedPageBreak/>
              <w:t>Škunca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d.o.o.,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Jurja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Šižgorića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19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10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000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ZAGREB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GEODATA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PROJEKTI d.o.o.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Hermanova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1c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10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000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hr-HR"/>
              </w:rPr>
              <w:t>ZAGREB</w:t>
            </w:r>
            <w:proofErr w:type="spellEnd"/>
          </w:p>
        </w:tc>
        <w:tc>
          <w:tcPr>
            <w:tcW w:w="1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4714" w:rsidRPr="007136C7" w:rsidRDefault="004B4714" w:rsidP="001C6693">
            <w:pPr>
              <w:jc w:val="both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9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4714" w:rsidRPr="007136C7" w:rsidRDefault="004B4714" w:rsidP="001C6693">
            <w:pPr>
              <w:rPr>
                <w:rFonts w:eastAsia="Times New Roman"/>
                <w:color w:val="000000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110822" w:rsidRDefault="00110822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</w:p>
    <w:p w:rsidR="007136C7" w:rsidRPr="007136C7" w:rsidRDefault="007136C7" w:rsidP="007136C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II) Okvirni sporazumi i ugovori o javnoj nabavi sklopljeni temeljem okvirnog sporazuma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777"/>
        <w:gridCol w:w="1492"/>
        <w:gridCol w:w="1463"/>
        <w:gridCol w:w="1318"/>
        <w:gridCol w:w="1515"/>
        <w:gridCol w:w="1495"/>
        <w:gridCol w:w="1700"/>
        <w:gridCol w:w="1455"/>
        <w:gridCol w:w="1574"/>
      </w:tblGrid>
      <w:tr w:rsidR="007136C7" w:rsidRPr="007136C7" w:rsidTr="007136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Redni broj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Evidencijski broj nabave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Vrsta provedenog postupka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Datum sklapanja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Iznos sklopljenog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Razdoblje na koje je 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Naziv ponuditelja s kojim/a je sklopljen OS/ ugovor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Datum konačnog izvršenja OS-a/ ugovora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Konačni ukupni iznos plaćen temeljem OS-a/ ugovora</w:t>
            </w: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Okvirni sporazum (OS)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Ugovori sklopljeni temeljem OS-a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1.4.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Okvirni sporazum (OS)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lastRenderedPageBreak/>
              <w:t>Ugovori sklopljeni temeljem OS-a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2.1.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2.2.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2.3.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  <w:tr w:rsidR="007136C7" w:rsidRPr="007136C7" w:rsidTr="007136C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7136C7" w:rsidRPr="007136C7" w:rsidRDefault="007136C7" w:rsidP="007136C7">
            <w:pPr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  <w:r w:rsidRPr="007136C7">
              <w:rPr>
                <w:rFonts w:eastAsia="Times New Roman" w:cs="Times New Roman"/>
                <w:color w:val="000000"/>
                <w:szCs w:val="24"/>
                <w:lang w:eastAsia="hr-HR"/>
              </w:rPr>
              <w:t>2.4.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36C7" w:rsidRPr="007136C7" w:rsidRDefault="007136C7" w:rsidP="007136C7">
            <w:pPr>
              <w:jc w:val="both"/>
              <w:rPr>
                <w:rFonts w:eastAsia="Times New Roman" w:cs="Times New Roman"/>
                <w:color w:val="000000"/>
                <w:szCs w:val="24"/>
                <w:lang w:eastAsia="hr-HR"/>
              </w:rPr>
            </w:pPr>
          </w:p>
        </w:tc>
      </w:tr>
    </w:tbl>
    <w:p w:rsidR="00153F03" w:rsidRPr="00C507D7" w:rsidRDefault="007136C7" w:rsidP="00C507D7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Cs w:val="24"/>
          <w:lang w:eastAsia="hr-HR"/>
        </w:rPr>
      </w:pPr>
      <w:r w:rsidRPr="007136C7">
        <w:rPr>
          <w:rFonts w:eastAsia="Times New Roman" w:cs="Times New Roman"/>
          <w:color w:val="000000"/>
          <w:szCs w:val="24"/>
          <w:lang w:eastAsia="hr-HR"/>
        </w:rPr>
        <w:t>Napomena: Ukoliko tijelo javne vlasti kao naručitelj drži potrebnim, može u posebnom Dodatku „Pregledu sklopljenih ugovora o javnoj nabavi i njihovog izvršenja“, pozivom na broj pod kojim se podaci o ugovoru i njegovu izvršenju nalaze u tom Pregledu, dati detaljnije odnosno dodatne podatke vezane za sklapanje i izvršenje tog ugovora. U tom slučaju, Dodatak „Pregledu ugovora o javnoj nabavi i njihovog izvršenja“ također se objavljuje na internetskim stranicama u nastavku, na način utvrđen Zaključkom Vlade Republike Hrvatske.</w:t>
      </w:r>
    </w:p>
    <w:sectPr w:rsidR="00153F03" w:rsidRPr="00C507D7" w:rsidSect="001B7E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C7"/>
    <w:rsid w:val="00007E29"/>
    <w:rsid w:val="00065C7C"/>
    <w:rsid w:val="00110822"/>
    <w:rsid w:val="00153F03"/>
    <w:rsid w:val="001B7E8B"/>
    <w:rsid w:val="0023306D"/>
    <w:rsid w:val="00423D98"/>
    <w:rsid w:val="004B4714"/>
    <w:rsid w:val="00527FC6"/>
    <w:rsid w:val="0058562E"/>
    <w:rsid w:val="005D7B1F"/>
    <w:rsid w:val="007136C7"/>
    <w:rsid w:val="009900AA"/>
    <w:rsid w:val="00A36887"/>
    <w:rsid w:val="00B96029"/>
    <w:rsid w:val="00C507D7"/>
    <w:rsid w:val="00DF3D41"/>
    <w:rsid w:val="00E11916"/>
    <w:rsid w:val="00E82D3D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136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6"/>
      <w:szCs w:val="26"/>
      <w:lang w:eastAsia="hr-HR"/>
    </w:rPr>
  </w:style>
  <w:style w:type="paragraph" w:customStyle="1" w:styleId="t-9-8-potpis">
    <w:name w:val="t-9-8-potpis"/>
    <w:basedOn w:val="Normal"/>
    <w:rsid w:val="007136C7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-2">
    <w:name w:val="tb-na16-2"/>
    <w:basedOn w:val="Normal"/>
    <w:rsid w:val="007136C7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136C7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40"/>
      <w:szCs w:val="40"/>
      <w:lang w:eastAsia="hr-HR"/>
    </w:rPr>
  </w:style>
  <w:style w:type="paragraph" w:customStyle="1" w:styleId="t-9-8">
    <w:name w:val="t-9-8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Zadanifontodlomka"/>
    <w:rsid w:val="007136C7"/>
    <w:rPr>
      <w:b/>
      <w:bCs/>
    </w:rPr>
  </w:style>
  <w:style w:type="paragraph" w:customStyle="1" w:styleId="t-9-8-bez-uvl">
    <w:name w:val="t-9-8-bez-uvl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7136C7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6"/>
      <w:szCs w:val="26"/>
      <w:lang w:eastAsia="hr-HR"/>
    </w:rPr>
  </w:style>
  <w:style w:type="paragraph" w:customStyle="1" w:styleId="t-9-8-potpis">
    <w:name w:val="t-9-8-potpis"/>
    <w:basedOn w:val="Normal"/>
    <w:rsid w:val="007136C7"/>
    <w:pPr>
      <w:spacing w:before="100" w:beforeAutospacing="1" w:after="100" w:afterAutospacing="1"/>
      <w:ind w:left="7344"/>
      <w:jc w:val="center"/>
    </w:pPr>
    <w:rPr>
      <w:rFonts w:eastAsia="Times New Roman" w:cs="Times New Roman"/>
      <w:szCs w:val="24"/>
      <w:lang w:eastAsia="hr-HR"/>
    </w:rPr>
  </w:style>
  <w:style w:type="paragraph" w:customStyle="1" w:styleId="tb-na16-2">
    <w:name w:val="tb-na16-2"/>
    <w:basedOn w:val="Normal"/>
    <w:rsid w:val="007136C7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7136C7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40"/>
      <w:szCs w:val="40"/>
      <w:lang w:eastAsia="hr-HR"/>
    </w:rPr>
  </w:style>
  <w:style w:type="paragraph" w:customStyle="1" w:styleId="t-9-8">
    <w:name w:val="t-9-8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  <w:style w:type="character" w:customStyle="1" w:styleId="bold1">
    <w:name w:val="bold1"/>
    <w:basedOn w:val="Zadanifontodlomka"/>
    <w:rsid w:val="007136C7"/>
    <w:rPr>
      <w:b/>
      <w:bCs/>
    </w:rPr>
  </w:style>
  <w:style w:type="paragraph" w:customStyle="1" w:styleId="t-9-8-bez-uvl">
    <w:name w:val="t-9-8-bez-uvl"/>
    <w:basedOn w:val="Normal"/>
    <w:rsid w:val="007136C7"/>
    <w:pPr>
      <w:spacing w:before="100" w:beforeAutospacing="1" w:after="100" w:afterAutospacing="1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3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4</cp:revision>
  <dcterms:created xsi:type="dcterms:W3CDTF">2013-07-17T09:46:00Z</dcterms:created>
  <dcterms:modified xsi:type="dcterms:W3CDTF">2013-10-02T11:33:00Z</dcterms:modified>
</cp:coreProperties>
</file>